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9E" w:rsidRPr="000369EA" w:rsidRDefault="007C1F8E" w:rsidP="000369EA">
      <w:pPr>
        <w:spacing w:before="4680" w:after="2280"/>
        <w:jc w:val="center"/>
        <w:rPr>
          <w:rFonts w:eastAsia="Times New Roman" w:cstheme="minorHAnsi"/>
          <w:b/>
          <w:bCs/>
          <w:color w:val="004791"/>
          <w:spacing w:val="2"/>
          <w:sz w:val="36"/>
          <w:szCs w:val="24"/>
          <w:lang w:eastAsia="cs-CZ"/>
        </w:rPr>
      </w:pPr>
      <w:r>
        <w:rPr>
          <w:rFonts w:cstheme="minorHAnsi"/>
          <w:i/>
          <w:noProof/>
          <w:lang w:eastAsia="cs-CZ"/>
        </w:rPr>
        <w:drawing>
          <wp:anchor distT="0" distB="0" distL="114300" distR="114300" simplePos="0" relativeHeight="251662336" behindDoc="1" locked="0" layoutInCell="1" allowOverlap="1" wp14:anchorId="6DB55370" wp14:editId="604EDB0F">
            <wp:simplePos x="0" y="0"/>
            <wp:positionH relativeFrom="column">
              <wp:posOffset>3167380</wp:posOffset>
            </wp:positionH>
            <wp:positionV relativeFrom="paragraph">
              <wp:posOffset>-109220</wp:posOffset>
            </wp:positionV>
            <wp:extent cx="2533650" cy="866775"/>
            <wp:effectExtent l="0" t="0" r="0" b="9525"/>
            <wp:wrapThrough wrapText="bothSides">
              <wp:wrapPolygon edited="0">
                <wp:start x="0" y="0"/>
                <wp:lineTo x="0" y="21363"/>
                <wp:lineTo x="21438" y="21363"/>
                <wp:lineTo x="21438"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9EA" w:rsidRPr="00EA2A0F">
        <w:rPr>
          <w:noProof/>
          <w:color w:val="004791"/>
          <w:lang w:eastAsia="cs-CZ"/>
        </w:rPr>
        <w:drawing>
          <wp:anchor distT="0" distB="0" distL="114300" distR="114300" simplePos="0" relativeHeight="251659264" behindDoc="0" locked="0" layoutInCell="1" allowOverlap="1" wp14:anchorId="2A308EBA" wp14:editId="23E0449F">
            <wp:simplePos x="0" y="0"/>
            <wp:positionH relativeFrom="column">
              <wp:posOffset>91545</wp:posOffset>
            </wp:positionH>
            <wp:positionV relativeFrom="paragraph">
              <wp:posOffset>-92710</wp:posOffset>
            </wp:positionV>
            <wp:extent cx="1836420" cy="848360"/>
            <wp:effectExtent l="0" t="0" r="0" b="8890"/>
            <wp:wrapNone/>
            <wp:docPr id="83" name="Picture 5" descr="mpo-logo"/>
            <wp:cNvGraphicFramePr/>
            <a:graphic xmlns:a="http://schemas.openxmlformats.org/drawingml/2006/main">
              <a:graphicData uri="http://schemas.openxmlformats.org/drawingml/2006/picture">
                <pic:pic xmlns:pic="http://schemas.openxmlformats.org/drawingml/2006/picture">
                  <pic:nvPicPr>
                    <pic:cNvPr id="83" name="Picture 5" descr="mpo-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848360"/>
                    </a:xfrm>
                    <a:prstGeom prst="rect">
                      <a:avLst/>
                    </a:prstGeom>
                    <a:noFill/>
                  </pic:spPr>
                </pic:pic>
              </a:graphicData>
            </a:graphic>
          </wp:anchor>
        </w:drawing>
      </w:r>
      <w:r w:rsidR="00B503FD">
        <w:rPr>
          <w:rFonts w:eastAsia="Times New Roman" w:cstheme="minorHAnsi"/>
          <w:b/>
          <w:bCs/>
          <w:color w:val="004791"/>
          <w:spacing w:val="2"/>
          <w:sz w:val="36"/>
          <w:szCs w:val="24"/>
          <w:lang w:eastAsia="cs-CZ"/>
        </w:rPr>
        <w:t>Národní akční plán rozvoje</w:t>
      </w:r>
      <w:r w:rsidR="00971E9E" w:rsidRPr="000369EA">
        <w:rPr>
          <w:rFonts w:eastAsia="Times New Roman" w:cstheme="minorHAnsi"/>
          <w:b/>
          <w:bCs/>
          <w:color w:val="004791"/>
          <w:spacing w:val="2"/>
          <w:sz w:val="36"/>
          <w:szCs w:val="24"/>
          <w:lang w:eastAsia="cs-CZ"/>
        </w:rPr>
        <w:t xml:space="preserve"> jaderné energetiky v ČR</w:t>
      </w:r>
    </w:p>
    <w:p w:rsidR="000369EA" w:rsidRPr="007C1F8E" w:rsidRDefault="000369EA" w:rsidP="000369EA">
      <w:pPr>
        <w:pStyle w:val="Default"/>
        <w:jc w:val="right"/>
        <w:rPr>
          <w:rFonts w:asciiTheme="minorHAnsi" w:hAnsiTheme="minorHAnsi" w:cstheme="minorHAnsi"/>
          <w:i/>
          <w:szCs w:val="22"/>
        </w:rPr>
      </w:pPr>
      <w:r w:rsidRPr="007C1F8E">
        <w:rPr>
          <w:rFonts w:asciiTheme="minorHAnsi" w:hAnsiTheme="minorHAnsi" w:cstheme="minorHAnsi"/>
          <w:i/>
          <w:szCs w:val="22"/>
        </w:rPr>
        <w:t>Zpracovatel: Ministerstvo průmyslu a obchodu ČR</w:t>
      </w:r>
      <w:r w:rsidR="00C57F7E" w:rsidRPr="007C1F8E">
        <w:rPr>
          <w:rFonts w:asciiTheme="minorHAnsi" w:hAnsiTheme="minorHAnsi" w:cstheme="minorHAnsi"/>
          <w:i/>
          <w:szCs w:val="22"/>
        </w:rPr>
        <w:t xml:space="preserve">, Ministerstvo </w:t>
      </w:r>
      <w:r w:rsidR="00381714" w:rsidRPr="007C1F8E">
        <w:rPr>
          <w:rFonts w:asciiTheme="minorHAnsi" w:hAnsiTheme="minorHAnsi" w:cstheme="minorHAnsi"/>
          <w:i/>
          <w:szCs w:val="22"/>
        </w:rPr>
        <w:t xml:space="preserve">financí </w:t>
      </w:r>
      <w:r w:rsidR="00C57F7E" w:rsidRPr="007C1F8E">
        <w:rPr>
          <w:rFonts w:asciiTheme="minorHAnsi" w:hAnsiTheme="minorHAnsi" w:cstheme="minorHAnsi"/>
          <w:i/>
          <w:szCs w:val="22"/>
        </w:rPr>
        <w:t>ČR</w:t>
      </w:r>
    </w:p>
    <w:p w:rsidR="000369EA" w:rsidRPr="007C1F8E" w:rsidRDefault="000369EA" w:rsidP="000369EA">
      <w:pPr>
        <w:pStyle w:val="Default"/>
        <w:jc w:val="right"/>
        <w:rPr>
          <w:rFonts w:asciiTheme="minorHAnsi" w:hAnsiTheme="minorHAnsi" w:cstheme="minorHAnsi"/>
          <w:i/>
          <w:szCs w:val="22"/>
        </w:rPr>
      </w:pPr>
      <w:r w:rsidRPr="007C1F8E">
        <w:rPr>
          <w:rFonts w:asciiTheme="minorHAnsi" w:hAnsiTheme="minorHAnsi" w:cstheme="minorHAnsi"/>
          <w:i/>
          <w:szCs w:val="22"/>
        </w:rPr>
        <w:t xml:space="preserve">Dne: </w:t>
      </w:r>
      <w:r w:rsidR="001142B8">
        <w:rPr>
          <w:rFonts w:asciiTheme="minorHAnsi" w:hAnsiTheme="minorHAnsi" w:cstheme="minorHAnsi"/>
          <w:i/>
          <w:szCs w:val="22"/>
        </w:rPr>
        <w:t>22</w:t>
      </w:r>
      <w:r w:rsidR="007B491F" w:rsidRPr="007C1F8E">
        <w:rPr>
          <w:rFonts w:asciiTheme="minorHAnsi" w:hAnsiTheme="minorHAnsi" w:cstheme="minorHAnsi"/>
          <w:i/>
          <w:szCs w:val="22"/>
        </w:rPr>
        <w:t xml:space="preserve">. </w:t>
      </w:r>
      <w:r w:rsidR="001142B8">
        <w:rPr>
          <w:rFonts w:asciiTheme="minorHAnsi" w:hAnsiTheme="minorHAnsi" w:cstheme="minorHAnsi"/>
          <w:i/>
          <w:szCs w:val="22"/>
        </w:rPr>
        <w:t>května</w:t>
      </w:r>
      <w:r w:rsidR="007B491F" w:rsidRPr="007C1F8E">
        <w:rPr>
          <w:rFonts w:asciiTheme="minorHAnsi" w:hAnsiTheme="minorHAnsi" w:cstheme="minorHAnsi"/>
          <w:i/>
          <w:szCs w:val="22"/>
        </w:rPr>
        <w:t xml:space="preserve"> 2015</w:t>
      </w:r>
    </w:p>
    <w:p w:rsidR="000369EA" w:rsidRDefault="007C1F8E">
      <w:pPr>
        <w:rPr>
          <w:b/>
          <w:u w:val="single"/>
        </w:rPr>
      </w:pPr>
      <w:r>
        <w:rPr>
          <w:b/>
          <w:noProof/>
          <w:u w:val="single"/>
          <w:lang w:eastAsia="cs-CZ"/>
        </w:rPr>
        <mc:AlternateContent>
          <mc:Choice Requires="wps">
            <w:drawing>
              <wp:anchor distT="0" distB="0" distL="114300" distR="114300" simplePos="0" relativeHeight="251663360" behindDoc="0" locked="0" layoutInCell="1" allowOverlap="1">
                <wp:simplePos x="0" y="0"/>
                <wp:positionH relativeFrom="column">
                  <wp:posOffset>1595755</wp:posOffset>
                </wp:positionH>
                <wp:positionV relativeFrom="paragraph">
                  <wp:posOffset>483870</wp:posOffset>
                </wp:positionV>
                <wp:extent cx="5067300" cy="421005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5067300" cy="4210050"/>
                        </a:xfrm>
                        <a:prstGeom prst="rect">
                          <a:avLst/>
                        </a:prstGeom>
                        <a:solidFill>
                          <a:schemeClr val="bg1">
                            <a:alpha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C783D" id="Obdélník 7" o:spid="_x0000_s1026" style="position:absolute;margin-left:125.65pt;margin-top:38.1pt;width:399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" fillcolor="white [3212]" strokecolor="white [3212]" strokeweight="2pt">
                <v:fill opacity="32896f"/>
              </v:rect>
            </w:pict>
          </mc:Fallback>
        </mc:AlternateContent>
      </w:r>
      <w:r w:rsidR="000369EA">
        <w:rPr>
          <w:b/>
          <w:u w:val="single"/>
        </w:rPr>
        <w:br w:type="page"/>
      </w:r>
      <w:r w:rsidR="000369EA" w:rsidRPr="00EA2A0F">
        <w:rPr>
          <w:noProof/>
          <w:color w:val="004791"/>
          <w:lang w:eastAsia="cs-CZ"/>
        </w:rPr>
        <w:drawing>
          <wp:anchor distT="0" distB="0" distL="114300" distR="114300" simplePos="0" relativeHeight="251661312" behindDoc="1" locked="0" layoutInCell="1" allowOverlap="1" wp14:anchorId="45B3021C" wp14:editId="7F64C8C8">
            <wp:simplePos x="0" y="0"/>
            <wp:positionH relativeFrom="column">
              <wp:posOffset>1595755</wp:posOffset>
            </wp:positionH>
            <wp:positionV relativeFrom="paragraph">
              <wp:posOffset>712470</wp:posOffset>
            </wp:positionV>
            <wp:extent cx="5225415" cy="4156710"/>
            <wp:effectExtent l="0" t="0" r="0" b="0"/>
            <wp:wrapNone/>
            <wp:docPr id="292" name="Picture 2"/>
            <wp:cNvGraphicFramePr/>
            <a:graphic xmlns:a="http://schemas.openxmlformats.org/drawingml/2006/main">
              <a:graphicData uri="http://schemas.openxmlformats.org/drawingml/2006/picture">
                <pic:pic xmlns:pic="http://schemas.openxmlformats.org/drawingml/2006/picture">
                  <pic:nvPicPr>
                    <pic:cNvPr id="2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5415" cy="4156710"/>
                    </a:xfrm>
                    <a:prstGeom prst="rect">
                      <a:avLst/>
                    </a:prstGeom>
                    <a:noFill/>
                  </pic:spPr>
                </pic:pic>
              </a:graphicData>
            </a:graphic>
          </wp:anchor>
        </w:drawing>
      </w:r>
    </w:p>
    <w:sdt>
      <w:sdtPr>
        <w:rPr>
          <w:rFonts w:asciiTheme="minorHAnsi" w:eastAsiaTheme="minorHAnsi" w:hAnsiTheme="minorHAnsi" w:cstheme="minorBidi"/>
          <w:b w:val="0"/>
          <w:bCs w:val="0"/>
          <w:color w:val="auto"/>
          <w:sz w:val="22"/>
          <w:szCs w:val="22"/>
          <w:lang w:eastAsia="en-US"/>
        </w:rPr>
        <w:id w:val="267665706"/>
        <w:docPartObj>
          <w:docPartGallery w:val="Table of Contents"/>
          <w:docPartUnique/>
        </w:docPartObj>
      </w:sdtPr>
      <w:sdtContent>
        <w:p w:rsidR="0081296A" w:rsidRDefault="0081296A" w:rsidP="00C931E9">
          <w:pPr>
            <w:pStyle w:val="Nadpisobsahu"/>
            <w:spacing w:before="0"/>
          </w:pPr>
          <w:r>
            <w:t>Obsah</w:t>
          </w:r>
        </w:p>
        <w:p w:rsidR="00851303" w:rsidRDefault="001F7B0E" w:rsidP="00851303">
          <w:pPr>
            <w:pStyle w:val="Obsah1"/>
            <w:tabs>
              <w:tab w:val="right" w:leader="dot" w:pos="9062"/>
            </w:tabs>
            <w:spacing w:after="0"/>
            <w:rPr>
              <w:rFonts w:eastAsiaTheme="minorEastAsia"/>
              <w:noProof/>
              <w:lang w:eastAsia="cs-CZ"/>
            </w:rPr>
          </w:pPr>
          <w:r>
            <w:fldChar w:fldCharType="begin"/>
          </w:r>
          <w:r w:rsidR="0081296A">
            <w:instrText xml:space="preserve"> TOC \o "1-3" \h \z \u </w:instrText>
          </w:r>
          <w:r>
            <w:fldChar w:fldCharType="separate"/>
          </w:r>
          <w:hyperlink w:anchor="_Toc420055981" w:history="1">
            <w:r w:rsidR="00851303" w:rsidRPr="00B56750">
              <w:rPr>
                <w:rStyle w:val="Hypertextovodkaz"/>
                <w:noProof/>
              </w:rPr>
              <w:t>Manažerské shrnutí</w:t>
            </w:r>
            <w:r w:rsidR="00851303">
              <w:rPr>
                <w:noProof/>
                <w:webHidden/>
              </w:rPr>
              <w:tab/>
            </w:r>
            <w:r w:rsidR="00851303">
              <w:rPr>
                <w:noProof/>
                <w:webHidden/>
              </w:rPr>
              <w:fldChar w:fldCharType="begin"/>
            </w:r>
            <w:r w:rsidR="00851303">
              <w:rPr>
                <w:noProof/>
                <w:webHidden/>
              </w:rPr>
              <w:instrText xml:space="preserve"> PAGEREF _Toc420055981 \h </w:instrText>
            </w:r>
            <w:r w:rsidR="00851303">
              <w:rPr>
                <w:noProof/>
                <w:webHidden/>
              </w:rPr>
            </w:r>
            <w:r w:rsidR="00851303">
              <w:rPr>
                <w:noProof/>
                <w:webHidden/>
              </w:rPr>
              <w:fldChar w:fldCharType="separate"/>
            </w:r>
            <w:r w:rsidR="00851303">
              <w:rPr>
                <w:noProof/>
                <w:webHidden/>
              </w:rPr>
              <w:t>5</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5982" w:history="1">
            <w:r w:rsidR="00851303" w:rsidRPr="00B56750">
              <w:rPr>
                <w:rStyle w:val="Hypertextovodkaz"/>
                <w:noProof/>
              </w:rPr>
              <w:t>1</w:t>
            </w:r>
            <w:r w:rsidR="00851303">
              <w:rPr>
                <w:rFonts w:eastAsiaTheme="minorEastAsia"/>
                <w:noProof/>
                <w:lang w:eastAsia="cs-CZ"/>
              </w:rPr>
              <w:tab/>
            </w:r>
            <w:r w:rsidR="00851303" w:rsidRPr="00B56750">
              <w:rPr>
                <w:rStyle w:val="Hypertextovodkaz"/>
                <w:noProof/>
              </w:rPr>
              <w:t>Účel dokumentu, východiska a cíle rozvoje jaderné energetiky</w:t>
            </w:r>
            <w:r w:rsidR="00851303">
              <w:rPr>
                <w:noProof/>
                <w:webHidden/>
              </w:rPr>
              <w:tab/>
            </w:r>
            <w:r w:rsidR="00851303">
              <w:rPr>
                <w:noProof/>
                <w:webHidden/>
              </w:rPr>
              <w:fldChar w:fldCharType="begin"/>
            </w:r>
            <w:r w:rsidR="00851303">
              <w:rPr>
                <w:noProof/>
                <w:webHidden/>
              </w:rPr>
              <w:instrText xml:space="preserve"> PAGEREF _Toc420055982 \h </w:instrText>
            </w:r>
            <w:r w:rsidR="00851303">
              <w:rPr>
                <w:noProof/>
                <w:webHidden/>
              </w:rPr>
            </w:r>
            <w:r w:rsidR="00851303">
              <w:rPr>
                <w:noProof/>
                <w:webHidden/>
              </w:rPr>
              <w:fldChar w:fldCharType="separate"/>
            </w:r>
            <w:r w:rsidR="00851303">
              <w:rPr>
                <w:noProof/>
                <w:webHidden/>
              </w:rPr>
              <w:t>8</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5983" w:history="1">
            <w:r w:rsidR="00851303" w:rsidRPr="00B56750">
              <w:rPr>
                <w:rStyle w:val="Hypertextovodkaz"/>
                <w:noProof/>
              </w:rPr>
              <w:t>2</w:t>
            </w:r>
            <w:r w:rsidR="00851303">
              <w:rPr>
                <w:rFonts w:eastAsiaTheme="minorEastAsia"/>
                <w:noProof/>
                <w:lang w:eastAsia="cs-CZ"/>
              </w:rPr>
              <w:tab/>
            </w:r>
            <w:r w:rsidR="00851303" w:rsidRPr="00B56750">
              <w:rPr>
                <w:rStyle w:val="Hypertextovodkaz"/>
                <w:noProof/>
              </w:rPr>
              <w:t>Vize rozvoje jaderné energetiky</w:t>
            </w:r>
            <w:r w:rsidR="00851303">
              <w:rPr>
                <w:noProof/>
                <w:webHidden/>
              </w:rPr>
              <w:tab/>
            </w:r>
            <w:r w:rsidR="00851303">
              <w:rPr>
                <w:noProof/>
                <w:webHidden/>
              </w:rPr>
              <w:fldChar w:fldCharType="begin"/>
            </w:r>
            <w:r w:rsidR="00851303">
              <w:rPr>
                <w:noProof/>
                <w:webHidden/>
              </w:rPr>
              <w:instrText xml:space="preserve"> PAGEREF _Toc420055983 \h </w:instrText>
            </w:r>
            <w:r w:rsidR="00851303">
              <w:rPr>
                <w:noProof/>
                <w:webHidden/>
              </w:rPr>
            </w:r>
            <w:r w:rsidR="00851303">
              <w:rPr>
                <w:noProof/>
                <w:webHidden/>
              </w:rPr>
              <w:fldChar w:fldCharType="separate"/>
            </w:r>
            <w:r w:rsidR="00851303">
              <w:rPr>
                <w:noProof/>
                <w:webHidden/>
              </w:rPr>
              <w:t>12</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5984" w:history="1">
            <w:r w:rsidR="00851303" w:rsidRPr="00B56750">
              <w:rPr>
                <w:rStyle w:val="Hypertextovodkaz"/>
                <w:noProof/>
              </w:rPr>
              <w:t>3</w:t>
            </w:r>
            <w:r w:rsidR="00851303">
              <w:rPr>
                <w:rFonts w:eastAsiaTheme="minorEastAsia"/>
                <w:noProof/>
                <w:lang w:eastAsia="cs-CZ"/>
              </w:rPr>
              <w:tab/>
            </w:r>
            <w:r w:rsidR="00851303" w:rsidRPr="00B56750">
              <w:rPr>
                <w:rStyle w:val="Hypertextovodkaz"/>
                <w:noProof/>
              </w:rPr>
              <w:t>Podmínky pro zajištění udržitelného rozvoje jaderné energetiky</w:t>
            </w:r>
            <w:r w:rsidR="00851303">
              <w:rPr>
                <w:noProof/>
                <w:webHidden/>
              </w:rPr>
              <w:tab/>
            </w:r>
            <w:r w:rsidR="00851303">
              <w:rPr>
                <w:noProof/>
                <w:webHidden/>
              </w:rPr>
              <w:fldChar w:fldCharType="begin"/>
            </w:r>
            <w:r w:rsidR="00851303">
              <w:rPr>
                <w:noProof/>
                <w:webHidden/>
              </w:rPr>
              <w:instrText xml:space="preserve"> PAGEREF _Toc420055984 \h </w:instrText>
            </w:r>
            <w:r w:rsidR="00851303">
              <w:rPr>
                <w:noProof/>
                <w:webHidden/>
              </w:rPr>
            </w:r>
            <w:r w:rsidR="00851303">
              <w:rPr>
                <w:noProof/>
                <w:webHidden/>
              </w:rPr>
              <w:fldChar w:fldCharType="separate"/>
            </w:r>
            <w:r w:rsidR="00851303">
              <w:rPr>
                <w:noProof/>
                <w:webHidden/>
              </w:rPr>
              <w:t>15</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85" w:history="1">
            <w:r w:rsidR="00851303" w:rsidRPr="00B56750">
              <w:rPr>
                <w:rStyle w:val="Hypertextovodkaz"/>
                <w:noProof/>
              </w:rPr>
              <w:t>3.1</w:t>
            </w:r>
            <w:r w:rsidR="00851303">
              <w:rPr>
                <w:rFonts w:eastAsiaTheme="minorEastAsia"/>
                <w:noProof/>
                <w:lang w:eastAsia="cs-CZ"/>
              </w:rPr>
              <w:tab/>
            </w:r>
            <w:r w:rsidR="00851303" w:rsidRPr="00B56750">
              <w:rPr>
                <w:rStyle w:val="Hypertextovodkaz"/>
                <w:noProof/>
              </w:rPr>
              <w:t>Jaderná bezpečnost na špičkové úrovni</w:t>
            </w:r>
            <w:r w:rsidR="00851303">
              <w:rPr>
                <w:noProof/>
                <w:webHidden/>
              </w:rPr>
              <w:tab/>
            </w:r>
            <w:r w:rsidR="00851303">
              <w:rPr>
                <w:noProof/>
                <w:webHidden/>
              </w:rPr>
              <w:fldChar w:fldCharType="begin"/>
            </w:r>
            <w:r w:rsidR="00851303">
              <w:rPr>
                <w:noProof/>
                <w:webHidden/>
              </w:rPr>
              <w:instrText xml:space="preserve"> PAGEREF _Toc420055985 \h </w:instrText>
            </w:r>
            <w:r w:rsidR="00851303">
              <w:rPr>
                <w:noProof/>
                <w:webHidden/>
              </w:rPr>
            </w:r>
            <w:r w:rsidR="00851303">
              <w:rPr>
                <w:noProof/>
                <w:webHidden/>
              </w:rPr>
              <w:fldChar w:fldCharType="separate"/>
            </w:r>
            <w:r w:rsidR="00851303">
              <w:rPr>
                <w:noProof/>
                <w:webHidden/>
              </w:rPr>
              <w:t>15</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86" w:history="1">
            <w:r w:rsidR="00851303" w:rsidRPr="00B56750">
              <w:rPr>
                <w:rStyle w:val="Hypertextovodkaz"/>
                <w:noProof/>
              </w:rPr>
              <w:t>3.2</w:t>
            </w:r>
            <w:r w:rsidR="00851303">
              <w:rPr>
                <w:rFonts w:eastAsiaTheme="minorEastAsia"/>
                <w:noProof/>
                <w:lang w:eastAsia="cs-CZ"/>
              </w:rPr>
              <w:tab/>
            </w:r>
            <w:r w:rsidR="00851303" w:rsidRPr="00B56750">
              <w:rPr>
                <w:rStyle w:val="Hypertextovodkaz"/>
                <w:noProof/>
              </w:rPr>
              <w:t>Minimální dopad na životní prostředí ve všech fázích životního cyklu jaderné energetiky</w:t>
            </w:r>
            <w:r w:rsidR="00851303">
              <w:rPr>
                <w:noProof/>
                <w:webHidden/>
              </w:rPr>
              <w:tab/>
            </w:r>
            <w:r w:rsidR="00851303">
              <w:rPr>
                <w:noProof/>
                <w:webHidden/>
              </w:rPr>
              <w:fldChar w:fldCharType="begin"/>
            </w:r>
            <w:r w:rsidR="00851303">
              <w:rPr>
                <w:noProof/>
                <w:webHidden/>
              </w:rPr>
              <w:instrText xml:space="preserve"> PAGEREF _Toc420055986 \h </w:instrText>
            </w:r>
            <w:r w:rsidR="00851303">
              <w:rPr>
                <w:noProof/>
                <w:webHidden/>
              </w:rPr>
            </w:r>
            <w:r w:rsidR="00851303">
              <w:rPr>
                <w:noProof/>
                <w:webHidden/>
              </w:rPr>
              <w:fldChar w:fldCharType="separate"/>
            </w:r>
            <w:r w:rsidR="00851303">
              <w:rPr>
                <w:noProof/>
                <w:webHidden/>
              </w:rPr>
              <w:t>16</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87" w:history="1">
            <w:r w:rsidR="00851303" w:rsidRPr="00B56750">
              <w:rPr>
                <w:rStyle w:val="Hypertextovodkaz"/>
                <w:noProof/>
              </w:rPr>
              <w:t>3.3</w:t>
            </w:r>
            <w:r w:rsidR="00851303">
              <w:rPr>
                <w:rFonts w:eastAsiaTheme="minorEastAsia"/>
                <w:noProof/>
                <w:lang w:eastAsia="cs-CZ"/>
              </w:rPr>
              <w:tab/>
            </w:r>
            <w:r w:rsidR="00851303" w:rsidRPr="00B56750">
              <w:rPr>
                <w:rStyle w:val="Hypertextovodkaz"/>
                <w:noProof/>
              </w:rPr>
              <w:t>Vysoká konkurenceschopnost výroby elektrické energie v JE</w:t>
            </w:r>
            <w:r w:rsidR="00851303">
              <w:rPr>
                <w:noProof/>
                <w:webHidden/>
              </w:rPr>
              <w:tab/>
            </w:r>
            <w:r w:rsidR="00851303">
              <w:rPr>
                <w:noProof/>
                <w:webHidden/>
              </w:rPr>
              <w:fldChar w:fldCharType="begin"/>
            </w:r>
            <w:r w:rsidR="00851303">
              <w:rPr>
                <w:noProof/>
                <w:webHidden/>
              </w:rPr>
              <w:instrText xml:space="preserve"> PAGEREF _Toc420055987 \h </w:instrText>
            </w:r>
            <w:r w:rsidR="00851303">
              <w:rPr>
                <w:noProof/>
                <w:webHidden/>
              </w:rPr>
            </w:r>
            <w:r w:rsidR="00851303">
              <w:rPr>
                <w:noProof/>
                <w:webHidden/>
              </w:rPr>
              <w:fldChar w:fldCharType="separate"/>
            </w:r>
            <w:r w:rsidR="00851303">
              <w:rPr>
                <w:noProof/>
                <w:webHidden/>
              </w:rPr>
              <w:t>18</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88" w:history="1">
            <w:r w:rsidR="00851303" w:rsidRPr="00B56750">
              <w:rPr>
                <w:rStyle w:val="Hypertextovodkaz"/>
                <w:noProof/>
              </w:rPr>
              <w:t>3.4</w:t>
            </w:r>
            <w:r w:rsidR="00851303">
              <w:rPr>
                <w:rFonts w:eastAsiaTheme="minorEastAsia"/>
                <w:noProof/>
                <w:lang w:eastAsia="cs-CZ"/>
              </w:rPr>
              <w:tab/>
            </w:r>
            <w:r w:rsidR="00851303" w:rsidRPr="00B56750">
              <w:rPr>
                <w:rStyle w:val="Hypertextovodkaz"/>
                <w:noProof/>
              </w:rPr>
              <w:t>Transparentnost a přijatelnost pro obyvatelstvo</w:t>
            </w:r>
            <w:r w:rsidR="00851303">
              <w:rPr>
                <w:noProof/>
                <w:webHidden/>
              </w:rPr>
              <w:tab/>
            </w:r>
            <w:r w:rsidR="00851303">
              <w:rPr>
                <w:noProof/>
                <w:webHidden/>
              </w:rPr>
              <w:fldChar w:fldCharType="begin"/>
            </w:r>
            <w:r w:rsidR="00851303">
              <w:rPr>
                <w:noProof/>
                <w:webHidden/>
              </w:rPr>
              <w:instrText xml:space="preserve"> PAGEREF _Toc420055988 \h </w:instrText>
            </w:r>
            <w:r w:rsidR="00851303">
              <w:rPr>
                <w:noProof/>
                <w:webHidden/>
              </w:rPr>
            </w:r>
            <w:r w:rsidR="00851303">
              <w:rPr>
                <w:noProof/>
                <w:webHidden/>
              </w:rPr>
              <w:fldChar w:fldCharType="separate"/>
            </w:r>
            <w:r w:rsidR="00851303">
              <w:rPr>
                <w:noProof/>
                <w:webHidden/>
              </w:rPr>
              <w:t>20</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89" w:history="1">
            <w:r w:rsidR="00851303" w:rsidRPr="00B56750">
              <w:rPr>
                <w:rStyle w:val="Hypertextovodkaz"/>
                <w:noProof/>
              </w:rPr>
              <w:t>3.5</w:t>
            </w:r>
            <w:r w:rsidR="00851303">
              <w:rPr>
                <w:rFonts w:eastAsiaTheme="minorEastAsia"/>
                <w:noProof/>
                <w:lang w:eastAsia="cs-CZ"/>
              </w:rPr>
              <w:tab/>
            </w:r>
            <w:r w:rsidR="00851303" w:rsidRPr="00B56750">
              <w:rPr>
                <w:rStyle w:val="Hypertextovodkaz"/>
                <w:noProof/>
              </w:rPr>
              <w:t>Dlouhodobé zajištění jaderného palivového cyklu</w:t>
            </w:r>
            <w:r w:rsidR="00851303">
              <w:rPr>
                <w:noProof/>
                <w:webHidden/>
              </w:rPr>
              <w:tab/>
            </w:r>
            <w:r w:rsidR="00851303">
              <w:rPr>
                <w:noProof/>
                <w:webHidden/>
              </w:rPr>
              <w:fldChar w:fldCharType="begin"/>
            </w:r>
            <w:r w:rsidR="00851303">
              <w:rPr>
                <w:noProof/>
                <w:webHidden/>
              </w:rPr>
              <w:instrText xml:space="preserve"> PAGEREF _Toc420055989 \h </w:instrText>
            </w:r>
            <w:r w:rsidR="00851303">
              <w:rPr>
                <w:noProof/>
                <w:webHidden/>
              </w:rPr>
            </w:r>
            <w:r w:rsidR="00851303">
              <w:rPr>
                <w:noProof/>
                <w:webHidden/>
              </w:rPr>
              <w:fldChar w:fldCharType="separate"/>
            </w:r>
            <w:r w:rsidR="00851303">
              <w:rPr>
                <w:noProof/>
                <w:webHidden/>
              </w:rPr>
              <w:t>22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0" w:history="1">
            <w:r w:rsidR="00851303" w:rsidRPr="00B56750">
              <w:rPr>
                <w:rStyle w:val="Hypertextovodkaz"/>
                <w:rFonts w:eastAsiaTheme="majorEastAsia"/>
                <w:noProof/>
              </w:rPr>
              <w:t>3.5.1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Přírodní uran</w:t>
            </w:r>
            <w:r w:rsidR="00851303">
              <w:rPr>
                <w:noProof/>
                <w:webHidden/>
              </w:rPr>
              <w:tab/>
            </w:r>
            <w:r w:rsidR="00851303">
              <w:rPr>
                <w:noProof/>
                <w:webHidden/>
              </w:rPr>
              <w:fldChar w:fldCharType="begin"/>
            </w:r>
            <w:r w:rsidR="00851303">
              <w:rPr>
                <w:noProof/>
                <w:webHidden/>
              </w:rPr>
              <w:instrText xml:space="preserve"> PAGEREF _Toc420055990 \h </w:instrText>
            </w:r>
            <w:r w:rsidR="00851303">
              <w:rPr>
                <w:noProof/>
                <w:webHidden/>
              </w:rPr>
            </w:r>
            <w:r w:rsidR="00851303">
              <w:rPr>
                <w:noProof/>
                <w:webHidden/>
              </w:rPr>
              <w:fldChar w:fldCharType="separate"/>
            </w:r>
            <w:r w:rsidR="00851303">
              <w:rPr>
                <w:noProof/>
                <w:webHidden/>
              </w:rPr>
              <w:t>22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1" w:history="1">
            <w:r w:rsidR="00851303" w:rsidRPr="00B56750">
              <w:rPr>
                <w:rStyle w:val="Hypertextovodkaz"/>
                <w:rFonts w:eastAsiaTheme="majorEastAsia"/>
                <w:noProof/>
              </w:rPr>
              <w:t>3.5.2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Konverze uranu na UF</w:t>
            </w:r>
            <w:r w:rsidR="00851303" w:rsidRPr="00B56750">
              <w:rPr>
                <w:rStyle w:val="Hypertextovodkaz"/>
                <w:rFonts w:eastAsiaTheme="majorEastAsia"/>
                <w:noProof/>
                <w:vertAlign w:val="subscript"/>
              </w:rPr>
              <w:t>6</w:t>
            </w:r>
            <w:r w:rsidR="00851303">
              <w:rPr>
                <w:noProof/>
                <w:webHidden/>
              </w:rPr>
              <w:tab/>
            </w:r>
            <w:r w:rsidR="00851303">
              <w:rPr>
                <w:noProof/>
                <w:webHidden/>
              </w:rPr>
              <w:fldChar w:fldCharType="begin"/>
            </w:r>
            <w:r w:rsidR="00851303">
              <w:rPr>
                <w:noProof/>
                <w:webHidden/>
              </w:rPr>
              <w:instrText xml:space="preserve"> PAGEREF _Toc420055991 \h </w:instrText>
            </w:r>
            <w:r w:rsidR="00851303">
              <w:rPr>
                <w:noProof/>
                <w:webHidden/>
              </w:rPr>
            </w:r>
            <w:r w:rsidR="00851303">
              <w:rPr>
                <w:noProof/>
                <w:webHidden/>
              </w:rPr>
              <w:fldChar w:fldCharType="separate"/>
            </w:r>
            <w:r w:rsidR="00851303">
              <w:rPr>
                <w:noProof/>
                <w:webHidden/>
              </w:rPr>
              <w:t>22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2" w:history="1">
            <w:r w:rsidR="00851303" w:rsidRPr="00B56750">
              <w:rPr>
                <w:rStyle w:val="Hypertextovodkaz"/>
                <w:rFonts w:eastAsiaTheme="majorEastAsia"/>
                <w:noProof/>
              </w:rPr>
              <w:t>3.5.3</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Separace (obohacování uranu)</w:t>
            </w:r>
            <w:r w:rsidR="00851303">
              <w:rPr>
                <w:noProof/>
                <w:webHidden/>
              </w:rPr>
              <w:tab/>
            </w:r>
            <w:r w:rsidR="00851303">
              <w:rPr>
                <w:noProof/>
                <w:webHidden/>
              </w:rPr>
              <w:fldChar w:fldCharType="begin"/>
            </w:r>
            <w:r w:rsidR="00851303">
              <w:rPr>
                <w:noProof/>
                <w:webHidden/>
              </w:rPr>
              <w:instrText xml:space="preserve"> PAGEREF _Toc420055992 \h </w:instrText>
            </w:r>
            <w:r w:rsidR="00851303">
              <w:rPr>
                <w:noProof/>
                <w:webHidden/>
              </w:rPr>
            </w:r>
            <w:r w:rsidR="00851303">
              <w:rPr>
                <w:noProof/>
                <w:webHidden/>
              </w:rPr>
              <w:fldChar w:fldCharType="separate"/>
            </w:r>
            <w:r w:rsidR="00851303">
              <w:rPr>
                <w:noProof/>
                <w:webHidden/>
              </w:rPr>
              <w:t>22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3" w:history="1">
            <w:r w:rsidR="00851303" w:rsidRPr="00B56750">
              <w:rPr>
                <w:rStyle w:val="Hypertextovodkaz"/>
                <w:rFonts w:eastAsiaTheme="majorEastAsia"/>
                <w:noProof/>
              </w:rPr>
              <w:t>3.5.4</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Fabrikace jaderného paliva</w:t>
            </w:r>
            <w:r w:rsidR="00851303">
              <w:rPr>
                <w:noProof/>
                <w:webHidden/>
              </w:rPr>
              <w:tab/>
            </w:r>
            <w:r w:rsidR="00851303">
              <w:rPr>
                <w:noProof/>
                <w:webHidden/>
              </w:rPr>
              <w:fldChar w:fldCharType="begin"/>
            </w:r>
            <w:r w:rsidR="00851303">
              <w:rPr>
                <w:noProof/>
                <w:webHidden/>
              </w:rPr>
              <w:instrText xml:space="preserve"> PAGEREF _Toc420055993 \h </w:instrText>
            </w:r>
            <w:r w:rsidR="00851303">
              <w:rPr>
                <w:noProof/>
                <w:webHidden/>
              </w:rPr>
            </w:r>
            <w:r w:rsidR="00851303">
              <w:rPr>
                <w:noProof/>
                <w:webHidden/>
              </w:rPr>
              <w:fldChar w:fldCharType="separate"/>
            </w:r>
            <w:r w:rsidR="00851303">
              <w:rPr>
                <w:noProof/>
                <w:webHidden/>
              </w:rPr>
              <w:t>23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4" w:history="1">
            <w:r w:rsidR="00851303" w:rsidRPr="00B56750">
              <w:rPr>
                <w:rStyle w:val="Hypertextovodkaz"/>
                <w:rFonts w:eastAsiaTheme="majorEastAsia"/>
                <w:noProof/>
              </w:rPr>
              <w:t>3.5.5</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Mezisklad vyhořelého jaderného paliva</w:t>
            </w:r>
            <w:r w:rsidR="00851303">
              <w:rPr>
                <w:noProof/>
                <w:webHidden/>
              </w:rPr>
              <w:tab/>
            </w:r>
            <w:r w:rsidR="00851303">
              <w:rPr>
                <w:noProof/>
                <w:webHidden/>
              </w:rPr>
              <w:fldChar w:fldCharType="begin"/>
            </w:r>
            <w:r w:rsidR="00851303">
              <w:rPr>
                <w:noProof/>
                <w:webHidden/>
              </w:rPr>
              <w:instrText xml:space="preserve"> PAGEREF _Toc420055994 \h </w:instrText>
            </w:r>
            <w:r w:rsidR="00851303">
              <w:rPr>
                <w:noProof/>
                <w:webHidden/>
              </w:rPr>
            </w:r>
            <w:r w:rsidR="00851303">
              <w:rPr>
                <w:noProof/>
                <w:webHidden/>
              </w:rPr>
              <w:fldChar w:fldCharType="separate"/>
            </w:r>
            <w:r w:rsidR="00851303">
              <w:rPr>
                <w:noProof/>
                <w:webHidden/>
              </w:rPr>
              <w:t>23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5" w:history="1">
            <w:r w:rsidR="00851303" w:rsidRPr="00B56750">
              <w:rPr>
                <w:rStyle w:val="Hypertextovodkaz"/>
                <w:rFonts w:eastAsiaTheme="majorEastAsia"/>
                <w:noProof/>
              </w:rPr>
              <w:t>3.5.6</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Transport vyhořelého jaderného paliva</w:t>
            </w:r>
            <w:r w:rsidR="00851303">
              <w:rPr>
                <w:noProof/>
                <w:webHidden/>
              </w:rPr>
              <w:tab/>
            </w:r>
            <w:r w:rsidR="00851303">
              <w:rPr>
                <w:noProof/>
                <w:webHidden/>
              </w:rPr>
              <w:fldChar w:fldCharType="begin"/>
            </w:r>
            <w:r w:rsidR="00851303">
              <w:rPr>
                <w:noProof/>
                <w:webHidden/>
              </w:rPr>
              <w:instrText xml:space="preserve"> PAGEREF _Toc420055995 \h </w:instrText>
            </w:r>
            <w:r w:rsidR="00851303">
              <w:rPr>
                <w:noProof/>
                <w:webHidden/>
              </w:rPr>
            </w:r>
            <w:r w:rsidR="00851303">
              <w:rPr>
                <w:noProof/>
                <w:webHidden/>
              </w:rPr>
              <w:fldChar w:fldCharType="separate"/>
            </w:r>
            <w:r w:rsidR="00851303">
              <w:rPr>
                <w:noProof/>
                <w:webHidden/>
              </w:rPr>
              <w:t>23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6" w:history="1">
            <w:r w:rsidR="00851303" w:rsidRPr="00B56750">
              <w:rPr>
                <w:rStyle w:val="Hypertextovodkaz"/>
                <w:rFonts w:eastAsiaTheme="majorEastAsia"/>
                <w:noProof/>
              </w:rPr>
              <w:t>3.5.7</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Přepracování jaderného paliva</w:t>
            </w:r>
            <w:r w:rsidR="00851303">
              <w:rPr>
                <w:noProof/>
                <w:webHidden/>
              </w:rPr>
              <w:tab/>
            </w:r>
            <w:r w:rsidR="00851303">
              <w:rPr>
                <w:noProof/>
                <w:webHidden/>
              </w:rPr>
              <w:fldChar w:fldCharType="begin"/>
            </w:r>
            <w:r w:rsidR="00851303">
              <w:rPr>
                <w:noProof/>
                <w:webHidden/>
              </w:rPr>
              <w:instrText xml:space="preserve"> PAGEREF _Toc420055996 \h </w:instrText>
            </w:r>
            <w:r w:rsidR="00851303">
              <w:rPr>
                <w:noProof/>
                <w:webHidden/>
              </w:rPr>
            </w:r>
            <w:r w:rsidR="00851303">
              <w:rPr>
                <w:noProof/>
                <w:webHidden/>
              </w:rPr>
              <w:fldChar w:fldCharType="separate"/>
            </w:r>
            <w:r w:rsidR="00851303">
              <w:rPr>
                <w:noProof/>
                <w:webHidden/>
              </w:rPr>
              <w:t>23</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97" w:history="1">
            <w:r w:rsidR="00851303" w:rsidRPr="00B56750">
              <w:rPr>
                <w:rStyle w:val="Hypertextovodkaz"/>
                <w:noProof/>
              </w:rPr>
              <w:t>3.6</w:t>
            </w:r>
            <w:r w:rsidR="00851303">
              <w:rPr>
                <w:rFonts w:eastAsiaTheme="minorEastAsia"/>
                <w:noProof/>
                <w:lang w:eastAsia="cs-CZ"/>
              </w:rPr>
              <w:tab/>
            </w:r>
            <w:r w:rsidR="00851303" w:rsidRPr="00B56750">
              <w:rPr>
                <w:rStyle w:val="Hypertextovodkaz"/>
                <w:noProof/>
              </w:rPr>
              <w:t>Dlouhodobá bezpečnost dodávek paliva</w:t>
            </w:r>
            <w:r w:rsidR="00851303">
              <w:rPr>
                <w:noProof/>
                <w:webHidden/>
              </w:rPr>
              <w:tab/>
            </w:r>
            <w:r w:rsidR="00851303">
              <w:rPr>
                <w:noProof/>
                <w:webHidden/>
              </w:rPr>
              <w:fldChar w:fldCharType="begin"/>
            </w:r>
            <w:r w:rsidR="00851303">
              <w:rPr>
                <w:noProof/>
                <w:webHidden/>
              </w:rPr>
              <w:instrText xml:space="preserve"> PAGEREF _Toc420055997 \h </w:instrText>
            </w:r>
            <w:r w:rsidR="00851303">
              <w:rPr>
                <w:noProof/>
                <w:webHidden/>
              </w:rPr>
            </w:r>
            <w:r w:rsidR="00851303">
              <w:rPr>
                <w:noProof/>
                <w:webHidden/>
              </w:rPr>
              <w:fldChar w:fldCharType="separate"/>
            </w:r>
            <w:r w:rsidR="00851303">
              <w:rPr>
                <w:noProof/>
                <w:webHidden/>
              </w:rPr>
              <w:t>23</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5998" w:history="1">
            <w:r w:rsidR="00851303" w:rsidRPr="00B56750">
              <w:rPr>
                <w:rStyle w:val="Hypertextovodkaz"/>
                <w:noProof/>
              </w:rPr>
              <w:t>3.7</w:t>
            </w:r>
            <w:r w:rsidR="00851303">
              <w:rPr>
                <w:rFonts w:eastAsiaTheme="minorEastAsia"/>
                <w:noProof/>
                <w:lang w:eastAsia="cs-CZ"/>
              </w:rPr>
              <w:tab/>
            </w:r>
            <w:r w:rsidR="00851303" w:rsidRPr="00B56750">
              <w:rPr>
                <w:rStyle w:val="Hypertextovodkaz"/>
                <w:noProof/>
              </w:rPr>
              <w:t>Dlouhodobé řešení zadního konce palivového cyklu a nakládání s RAO</w:t>
            </w:r>
            <w:r w:rsidR="00851303">
              <w:rPr>
                <w:noProof/>
                <w:webHidden/>
              </w:rPr>
              <w:tab/>
            </w:r>
            <w:r w:rsidR="00851303">
              <w:rPr>
                <w:noProof/>
                <w:webHidden/>
              </w:rPr>
              <w:fldChar w:fldCharType="begin"/>
            </w:r>
            <w:r w:rsidR="00851303">
              <w:rPr>
                <w:noProof/>
                <w:webHidden/>
              </w:rPr>
              <w:instrText xml:space="preserve"> PAGEREF _Toc420055998 \h </w:instrText>
            </w:r>
            <w:r w:rsidR="00851303">
              <w:rPr>
                <w:noProof/>
                <w:webHidden/>
              </w:rPr>
            </w:r>
            <w:r w:rsidR="00851303">
              <w:rPr>
                <w:noProof/>
                <w:webHidden/>
              </w:rPr>
              <w:fldChar w:fldCharType="separate"/>
            </w:r>
            <w:r w:rsidR="00851303">
              <w:rPr>
                <w:noProof/>
                <w:webHidden/>
              </w:rPr>
              <w:t>24</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5999" w:history="1">
            <w:r w:rsidR="00851303" w:rsidRPr="00B56750">
              <w:rPr>
                <w:rStyle w:val="Hypertextovodkaz"/>
                <w:rFonts w:eastAsiaTheme="majorEastAsia"/>
                <w:noProof/>
              </w:rPr>
              <w:t>3.7.1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Odhad budoucího množství RAO a VJP</w:t>
            </w:r>
            <w:r w:rsidR="00851303">
              <w:rPr>
                <w:noProof/>
                <w:webHidden/>
              </w:rPr>
              <w:tab/>
            </w:r>
            <w:r w:rsidR="00851303">
              <w:rPr>
                <w:noProof/>
                <w:webHidden/>
              </w:rPr>
              <w:fldChar w:fldCharType="begin"/>
            </w:r>
            <w:r w:rsidR="00851303">
              <w:rPr>
                <w:noProof/>
                <w:webHidden/>
              </w:rPr>
              <w:instrText xml:space="preserve"> PAGEREF _Toc420055999 \h </w:instrText>
            </w:r>
            <w:r w:rsidR="00851303">
              <w:rPr>
                <w:noProof/>
                <w:webHidden/>
              </w:rPr>
            </w:r>
            <w:r w:rsidR="00851303">
              <w:rPr>
                <w:noProof/>
                <w:webHidden/>
              </w:rPr>
              <w:fldChar w:fldCharType="separate"/>
            </w:r>
            <w:r w:rsidR="00851303">
              <w:rPr>
                <w:noProof/>
                <w:webHidden/>
              </w:rPr>
              <w:t>26</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0" w:history="1">
            <w:r w:rsidR="00851303" w:rsidRPr="00B56750">
              <w:rPr>
                <w:rStyle w:val="Hypertextovodkaz"/>
                <w:rFonts w:eastAsiaTheme="majorEastAsia"/>
                <w:noProof/>
              </w:rPr>
              <w:t>3.7.2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Nakládání s nízko a středněaktivními odpady z jaderných elektráren určených do přípovrchových úložišť</w:t>
            </w:r>
            <w:r w:rsidR="00851303">
              <w:rPr>
                <w:noProof/>
                <w:webHidden/>
              </w:rPr>
              <w:tab/>
            </w:r>
            <w:r w:rsidR="00851303">
              <w:rPr>
                <w:noProof/>
                <w:webHidden/>
              </w:rPr>
              <w:fldChar w:fldCharType="begin"/>
            </w:r>
            <w:r w:rsidR="00851303">
              <w:rPr>
                <w:noProof/>
                <w:webHidden/>
              </w:rPr>
              <w:instrText xml:space="preserve"> PAGEREF _Toc420056000 \h </w:instrText>
            </w:r>
            <w:r w:rsidR="00851303">
              <w:rPr>
                <w:noProof/>
                <w:webHidden/>
              </w:rPr>
            </w:r>
            <w:r w:rsidR="00851303">
              <w:rPr>
                <w:noProof/>
                <w:webHidden/>
              </w:rPr>
              <w:fldChar w:fldCharType="separate"/>
            </w:r>
            <w:r w:rsidR="00851303">
              <w:rPr>
                <w:noProof/>
                <w:webHidden/>
              </w:rPr>
              <w:t>28</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1" w:history="1">
            <w:r w:rsidR="00851303" w:rsidRPr="00B56750">
              <w:rPr>
                <w:rStyle w:val="Hypertextovodkaz"/>
                <w:rFonts w:eastAsiaTheme="majorEastAsia"/>
                <w:noProof/>
              </w:rPr>
              <w:t>3.7.3</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Skladování VJP z energetických reaktorů</w:t>
            </w:r>
            <w:r w:rsidR="00851303">
              <w:rPr>
                <w:noProof/>
                <w:webHidden/>
              </w:rPr>
              <w:tab/>
            </w:r>
            <w:r w:rsidR="00851303">
              <w:rPr>
                <w:noProof/>
                <w:webHidden/>
              </w:rPr>
              <w:fldChar w:fldCharType="begin"/>
            </w:r>
            <w:r w:rsidR="00851303">
              <w:rPr>
                <w:noProof/>
                <w:webHidden/>
              </w:rPr>
              <w:instrText xml:space="preserve"> PAGEREF _Toc420056001 \h </w:instrText>
            </w:r>
            <w:r w:rsidR="00851303">
              <w:rPr>
                <w:noProof/>
                <w:webHidden/>
              </w:rPr>
            </w:r>
            <w:r w:rsidR="00851303">
              <w:rPr>
                <w:noProof/>
                <w:webHidden/>
              </w:rPr>
              <w:fldChar w:fldCharType="separate"/>
            </w:r>
            <w:r w:rsidR="00851303">
              <w:rPr>
                <w:noProof/>
                <w:webHidden/>
              </w:rPr>
              <w:t>28</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2" w:history="1">
            <w:r w:rsidR="00851303" w:rsidRPr="00B56750">
              <w:rPr>
                <w:rStyle w:val="Hypertextovodkaz"/>
                <w:rFonts w:eastAsiaTheme="majorEastAsia"/>
                <w:noProof/>
              </w:rPr>
              <w:t>3.7.4</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Odpady z provozu a vyřazování jaderných elektráren</w:t>
            </w:r>
            <w:r w:rsidR="00851303">
              <w:rPr>
                <w:noProof/>
                <w:webHidden/>
              </w:rPr>
              <w:tab/>
            </w:r>
            <w:r w:rsidR="00851303">
              <w:rPr>
                <w:noProof/>
                <w:webHidden/>
              </w:rPr>
              <w:fldChar w:fldCharType="begin"/>
            </w:r>
            <w:r w:rsidR="00851303">
              <w:rPr>
                <w:noProof/>
                <w:webHidden/>
              </w:rPr>
              <w:instrText xml:space="preserve"> PAGEREF _Toc420056002 \h </w:instrText>
            </w:r>
            <w:r w:rsidR="00851303">
              <w:rPr>
                <w:noProof/>
                <w:webHidden/>
              </w:rPr>
            </w:r>
            <w:r w:rsidR="00851303">
              <w:rPr>
                <w:noProof/>
                <w:webHidden/>
              </w:rPr>
              <w:fldChar w:fldCharType="separate"/>
            </w:r>
            <w:r w:rsidR="00851303">
              <w:rPr>
                <w:noProof/>
                <w:webHidden/>
              </w:rPr>
              <w:t>29</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3" w:history="1">
            <w:r w:rsidR="00851303" w:rsidRPr="00B56750">
              <w:rPr>
                <w:rStyle w:val="Hypertextovodkaz"/>
                <w:rFonts w:eastAsiaTheme="majorEastAsia"/>
                <w:noProof/>
              </w:rPr>
              <w:t>3.7.5</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Financování ukládání RAO</w:t>
            </w:r>
            <w:r w:rsidR="00851303">
              <w:rPr>
                <w:noProof/>
                <w:webHidden/>
              </w:rPr>
              <w:tab/>
            </w:r>
            <w:r w:rsidR="00851303">
              <w:rPr>
                <w:noProof/>
                <w:webHidden/>
              </w:rPr>
              <w:fldChar w:fldCharType="begin"/>
            </w:r>
            <w:r w:rsidR="00851303">
              <w:rPr>
                <w:noProof/>
                <w:webHidden/>
              </w:rPr>
              <w:instrText xml:space="preserve"> PAGEREF _Toc420056003 \h </w:instrText>
            </w:r>
            <w:r w:rsidR="00851303">
              <w:rPr>
                <w:noProof/>
                <w:webHidden/>
              </w:rPr>
            </w:r>
            <w:r w:rsidR="00851303">
              <w:rPr>
                <w:noProof/>
                <w:webHidden/>
              </w:rPr>
              <w:fldChar w:fldCharType="separate"/>
            </w:r>
            <w:r w:rsidR="00851303">
              <w:rPr>
                <w:noProof/>
                <w:webHidden/>
              </w:rPr>
              <w:t>30</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04" w:history="1">
            <w:r w:rsidR="00851303" w:rsidRPr="00B56750">
              <w:rPr>
                <w:rStyle w:val="Hypertextovodkaz"/>
                <w:noProof/>
              </w:rPr>
              <w:t>3.8</w:t>
            </w:r>
            <w:r w:rsidR="00851303">
              <w:rPr>
                <w:rFonts w:eastAsiaTheme="minorEastAsia"/>
                <w:noProof/>
                <w:lang w:eastAsia="cs-CZ"/>
              </w:rPr>
              <w:tab/>
            </w:r>
            <w:r w:rsidR="00851303" w:rsidRPr="00B56750">
              <w:rPr>
                <w:rStyle w:val="Hypertextovodkaz"/>
                <w:noProof/>
              </w:rPr>
              <w:t>Vytvoření dostatečné rezervy na vyřazování</w:t>
            </w:r>
            <w:r w:rsidR="00851303">
              <w:rPr>
                <w:noProof/>
                <w:webHidden/>
              </w:rPr>
              <w:tab/>
            </w:r>
            <w:r w:rsidR="00851303">
              <w:rPr>
                <w:noProof/>
                <w:webHidden/>
              </w:rPr>
              <w:fldChar w:fldCharType="begin"/>
            </w:r>
            <w:r w:rsidR="00851303">
              <w:rPr>
                <w:noProof/>
                <w:webHidden/>
              </w:rPr>
              <w:instrText xml:space="preserve"> PAGEREF _Toc420056004 \h </w:instrText>
            </w:r>
            <w:r w:rsidR="00851303">
              <w:rPr>
                <w:noProof/>
                <w:webHidden/>
              </w:rPr>
            </w:r>
            <w:r w:rsidR="00851303">
              <w:rPr>
                <w:noProof/>
                <w:webHidden/>
              </w:rPr>
              <w:fldChar w:fldCharType="separate"/>
            </w:r>
            <w:r w:rsidR="00851303">
              <w:rPr>
                <w:noProof/>
                <w:webHidden/>
              </w:rPr>
              <w:t>31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05" w:history="1">
            <w:r w:rsidR="00851303" w:rsidRPr="00B56750">
              <w:rPr>
                <w:rStyle w:val="Hypertextovodkaz"/>
                <w:noProof/>
              </w:rPr>
              <w:t>3.9</w:t>
            </w:r>
            <w:r w:rsidR="00851303">
              <w:rPr>
                <w:rFonts w:eastAsiaTheme="minorEastAsia"/>
                <w:noProof/>
                <w:lang w:eastAsia="cs-CZ"/>
              </w:rPr>
              <w:tab/>
            </w:r>
            <w:r w:rsidR="00851303" w:rsidRPr="00B56750">
              <w:rPr>
                <w:rStyle w:val="Hypertextovodkaz"/>
                <w:noProof/>
              </w:rPr>
              <w:t>Jednoznačné definování odpovědnosti za jaderné škody</w:t>
            </w:r>
            <w:r w:rsidR="00851303">
              <w:rPr>
                <w:noProof/>
                <w:webHidden/>
              </w:rPr>
              <w:tab/>
            </w:r>
            <w:r w:rsidR="00851303">
              <w:rPr>
                <w:noProof/>
                <w:webHidden/>
              </w:rPr>
              <w:fldChar w:fldCharType="begin"/>
            </w:r>
            <w:r w:rsidR="00851303">
              <w:rPr>
                <w:noProof/>
                <w:webHidden/>
              </w:rPr>
              <w:instrText xml:space="preserve"> PAGEREF _Toc420056005 \h </w:instrText>
            </w:r>
            <w:r w:rsidR="00851303">
              <w:rPr>
                <w:noProof/>
                <w:webHidden/>
              </w:rPr>
            </w:r>
            <w:r w:rsidR="00851303">
              <w:rPr>
                <w:noProof/>
                <w:webHidden/>
              </w:rPr>
              <w:fldChar w:fldCharType="separate"/>
            </w:r>
            <w:r w:rsidR="00851303">
              <w:rPr>
                <w:noProof/>
                <w:webHidden/>
              </w:rPr>
              <w:t>33</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06" w:history="1">
            <w:r w:rsidR="00851303" w:rsidRPr="00B56750">
              <w:rPr>
                <w:rStyle w:val="Hypertextovodkaz"/>
                <w:noProof/>
              </w:rPr>
              <w:t>4</w:t>
            </w:r>
            <w:r w:rsidR="00851303">
              <w:rPr>
                <w:rFonts w:eastAsiaTheme="minorEastAsia"/>
                <w:noProof/>
                <w:lang w:eastAsia="cs-CZ"/>
              </w:rPr>
              <w:tab/>
            </w:r>
            <w:r w:rsidR="00851303" w:rsidRPr="00B56750">
              <w:rPr>
                <w:rStyle w:val="Hypertextovodkaz"/>
                <w:noProof/>
              </w:rPr>
              <w:t>Současný stav jaderné energetiky v ČR</w:t>
            </w:r>
            <w:r w:rsidR="00851303">
              <w:rPr>
                <w:noProof/>
                <w:webHidden/>
              </w:rPr>
              <w:tab/>
            </w:r>
            <w:r w:rsidR="00851303">
              <w:rPr>
                <w:noProof/>
                <w:webHidden/>
              </w:rPr>
              <w:fldChar w:fldCharType="begin"/>
            </w:r>
            <w:r w:rsidR="00851303">
              <w:rPr>
                <w:noProof/>
                <w:webHidden/>
              </w:rPr>
              <w:instrText xml:space="preserve"> PAGEREF _Toc420056006 \h </w:instrText>
            </w:r>
            <w:r w:rsidR="00851303">
              <w:rPr>
                <w:noProof/>
                <w:webHidden/>
              </w:rPr>
            </w:r>
            <w:r w:rsidR="00851303">
              <w:rPr>
                <w:noProof/>
                <w:webHidden/>
              </w:rPr>
              <w:fldChar w:fldCharType="separate"/>
            </w:r>
            <w:r w:rsidR="00851303">
              <w:rPr>
                <w:noProof/>
                <w:webHidden/>
              </w:rPr>
              <w:t>44</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07" w:history="1">
            <w:r w:rsidR="00851303" w:rsidRPr="00B56750">
              <w:rPr>
                <w:rStyle w:val="Hypertextovodkaz"/>
                <w:noProof/>
              </w:rPr>
              <w:t>4.1</w:t>
            </w:r>
            <w:r w:rsidR="00851303">
              <w:rPr>
                <w:rFonts w:eastAsiaTheme="minorEastAsia"/>
                <w:noProof/>
                <w:lang w:eastAsia="cs-CZ"/>
              </w:rPr>
              <w:tab/>
            </w:r>
            <w:r w:rsidR="00851303" w:rsidRPr="00B56750">
              <w:rPr>
                <w:rStyle w:val="Hypertextovodkaz"/>
                <w:noProof/>
              </w:rPr>
              <w:t>Provoz a životnost stávajících jaderných elektráren</w:t>
            </w:r>
            <w:r w:rsidR="00851303">
              <w:rPr>
                <w:noProof/>
                <w:webHidden/>
              </w:rPr>
              <w:tab/>
            </w:r>
            <w:r w:rsidR="00851303">
              <w:rPr>
                <w:noProof/>
                <w:webHidden/>
              </w:rPr>
              <w:fldChar w:fldCharType="begin"/>
            </w:r>
            <w:r w:rsidR="00851303">
              <w:rPr>
                <w:noProof/>
                <w:webHidden/>
              </w:rPr>
              <w:instrText xml:space="preserve"> PAGEREF _Toc420056007 \h </w:instrText>
            </w:r>
            <w:r w:rsidR="00851303">
              <w:rPr>
                <w:noProof/>
                <w:webHidden/>
              </w:rPr>
            </w:r>
            <w:r w:rsidR="00851303">
              <w:rPr>
                <w:noProof/>
                <w:webHidden/>
              </w:rPr>
              <w:fldChar w:fldCharType="separate"/>
            </w:r>
            <w:r w:rsidR="00851303">
              <w:rPr>
                <w:noProof/>
                <w:webHidden/>
              </w:rPr>
              <w:t>44</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8" w:history="1">
            <w:r w:rsidR="00851303" w:rsidRPr="00B56750">
              <w:rPr>
                <w:rStyle w:val="Hypertextovodkaz"/>
                <w:rFonts w:eastAsiaTheme="majorEastAsia"/>
                <w:noProof/>
              </w:rPr>
              <w:t>4.1.1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Provoz a disponibilita</w:t>
            </w:r>
            <w:r w:rsidR="00851303">
              <w:rPr>
                <w:noProof/>
                <w:webHidden/>
              </w:rPr>
              <w:tab/>
            </w:r>
            <w:r w:rsidR="00851303">
              <w:rPr>
                <w:noProof/>
                <w:webHidden/>
              </w:rPr>
              <w:fldChar w:fldCharType="begin"/>
            </w:r>
            <w:r w:rsidR="00851303">
              <w:rPr>
                <w:noProof/>
                <w:webHidden/>
              </w:rPr>
              <w:instrText xml:space="preserve"> PAGEREF _Toc420056008 \h </w:instrText>
            </w:r>
            <w:r w:rsidR="00851303">
              <w:rPr>
                <w:noProof/>
                <w:webHidden/>
              </w:rPr>
            </w:r>
            <w:r w:rsidR="00851303">
              <w:rPr>
                <w:noProof/>
                <w:webHidden/>
              </w:rPr>
              <w:fldChar w:fldCharType="separate"/>
            </w:r>
            <w:r w:rsidR="00851303">
              <w:rPr>
                <w:noProof/>
                <w:webHidden/>
              </w:rPr>
              <w:t>44</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09" w:history="1">
            <w:r w:rsidR="00851303" w:rsidRPr="00B56750">
              <w:rPr>
                <w:rStyle w:val="Hypertextovodkaz"/>
                <w:rFonts w:eastAsiaTheme="majorEastAsia"/>
                <w:noProof/>
              </w:rPr>
              <w:t>4.1.2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Stáří a stav JE, předpokládaný další provoz a plán dožití</w:t>
            </w:r>
            <w:r w:rsidR="00851303">
              <w:rPr>
                <w:noProof/>
                <w:webHidden/>
              </w:rPr>
              <w:tab/>
            </w:r>
            <w:r w:rsidR="00851303">
              <w:rPr>
                <w:noProof/>
                <w:webHidden/>
              </w:rPr>
              <w:fldChar w:fldCharType="begin"/>
            </w:r>
            <w:r w:rsidR="00851303">
              <w:rPr>
                <w:noProof/>
                <w:webHidden/>
              </w:rPr>
              <w:instrText xml:space="preserve"> PAGEREF _Toc420056009 \h </w:instrText>
            </w:r>
            <w:r w:rsidR="00851303">
              <w:rPr>
                <w:noProof/>
                <w:webHidden/>
              </w:rPr>
            </w:r>
            <w:r w:rsidR="00851303">
              <w:rPr>
                <w:noProof/>
                <w:webHidden/>
              </w:rPr>
              <w:fldChar w:fldCharType="separate"/>
            </w:r>
            <w:r w:rsidR="00851303">
              <w:rPr>
                <w:noProof/>
                <w:webHidden/>
              </w:rPr>
              <w:t>45</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10" w:history="1">
            <w:r w:rsidR="00851303" w:rsidRPr="00B56750">
              <w:rPr>
                <w:rStyle w:val="Hypertextovodkaz"/>
                <w:noProof/>
              </w:rPr>
              <w:t>4.2</w:t>
            </w:r>
            <w:r w:rsidR="00851303">
              <w:rPr>
                <w:rFonts w:eastAsiaTheme="minorEastAsia"/>
                <w:noProof/>
                <w:lang w:eastAsia="cs-CZ"/>
              </w:rPr>
              <w:tab/>
            </w:r>
            <w:r w:rsidR="00851303" w:rsidRPr="00B56750">
              <w:rPr>
                <w:rStyle w:val="Hypertextovodkaz"/>
                <w:noProof/>
              </w:rPr>
              <w:t>Možnosti výstavby NJZ - připravenost a limity současných jaderných lokalit v ČR</w:t>
            </w:r>
            <w:r w:rsidR="00851303">
              <w:rPr>
                <w:noProof/>
                <w:webHidden/>
              </w:rPr>
              <w:tab/>
            </w:r>
            <w:r w:rsidR="00851303">
              <w:rPr>
                <w:noProof/>
                <w:webHidden/>
              </w:rPr>
              <w:fldChar w:fldCharType="begin"/>
            </w:r>
            <w:r w:rsidR="00851303">
              <w:rPr>
                <w:noProof/>
                <w:webHidden/>
              </w:rPr>
              <w:instrText xml:space="preserve"> PAGEREF _Toc420056010 \h </w:instrText>
            </w:r>
            <w:r w:rsidR="00851303">
              <w:rPr>
                <w:noProof/>
                <w:webHidden/>
              </w:rPr>
            </w:r>
            <w:r w:rsidR="00851303">
              <w:rPr>
                <w:noProof/>
                <w:webHidden/>
              </w:rPr>
              <w:fldChar w:fldCharType="separate"/>
            </w:r>
            <w:r w:rsidR="00851303">
              <w:rPr>
                <w:noProof/>
                <w:webHidden/>
              </w:rPr>
              <w:t>47</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11" w:history="1">
            <w:r w:rsidR="00851303" w:rsidRPr="00B56750">
              <w:rPr>
                <w:rStyle w:val="Hypertextovodkaz"/>
                <w:rFonts w:eastAsiaTheme="majorEastAsia"/>
                <w:noProof/>
              </w:rPr>
              <w:t>4.2.1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Lokalita Temelín</w:t>
            </w:r>
            <w:r w:rsidR="00851303">
              <w:rPr>
                <w:noProof/>
                <w:webHidden/>
              </w:rPr>
              <w:tab/>
            </w:r>
            <w:r w:rsidR="00851303">
              <w:rPr>
                <w:noProof/>
                <w:webHidden/>
              </w:rPr>
              <w:fldChar w:fldCharType="begin"/>
            </w:r>
            <w:r w:rsidR="00851303">
              <w:rPr>
                <w:noProof/>
                <w:webHidden/>
              </w:rPr>
              <w:instrText xml:space="preserve"> PAGEREF _Toc420056011 \h </w:instrText>
            </w:r>
            <w:r w:rsidR="00851303">
              <w:rPr>
                <w:noProof/>
                <w:webHidden/>
              </w:rPr>
            </w:r>
            <w:r w:rsidR="00851303">
              <w:rPr>
                <w:noProof/>
                <w:webHidden/>
              </w:rPr>
              <w:fldChar w:fldCharType="separate"/>
            </w:r>
            <w:r w:rsidR="00851303">
              <w:rPr>
                <w:noProof/>
                <w:webHidden/>
              </w:rPr>
              <w:t>47</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12" w:history="1">
            <w:r w:rsidR="00851303" w:rsidRPr="00B56750">
              <w:rPr>
                <w:rStyle w:val="Hypertextovodkaz"/>
                <w:rFonts w:eastAsiaTheme="majorEastAsia"/>
                <w:noProof/>
              </w:rPr>
              <w:t>4.2.2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Lokalita Dukovany</w:t>
            </w:r>
            <w:r w:rsidR="00851303">
              <w:rPr>
                <w:noProof/>
                <w:webHidden/>
              </w:rPr>
              <w:tab/>
            </w:r>
            <w:r w:rsidR="00851303">
              <w:rPr>
                <w:noProof/>
                <w:webHidden/>
              </w:rPr>
              <w:fldChar w:fldCharType="begin"/>
            </w:r>
            <w:r w:rsidR="00851303">
              <w:rPr>
                <w:noProof/>
                <w:webHidden/>
              </w:rPr>
              <w:instrText xml:space="preserve"> PAGEREF _Toc420056012 \h </w:instrText>
            </w:r>
            <w:r w:rsidR="00851303">
              <w:rPr>
                <w:noProof/>
                <w:webHidden/>
              </w:rPr>
            </w:r>
            <w:r w:rsidR="00851303">
              <w:rPr>
                <w:noProof/>
                <w:webHidden/>
              </w:rPr>
              <w:fldChar w:fldCharType="separate"/>
            </w:r>
            <w:r w:rsidR="00851303">
              <w:rPr>
                <w:noProof/>
                <w:webHidden/>
              </w:rPr>
              <w:t>49</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13" w:history="1">
            <w:r w:rsidR="00851303" w:rsidRPr="00B56750">
              <w:rPr>
                <w:rStyle w:val="Hypertextovodkaz"/>
                <w:noProof/>
              </w:rPr>
              <w:t>4.3</w:t>
            </w:r>
            <w:r w:rsidR="00851303">
              <w:rPr>
                <w:rFonts w:eastAsiaTheme="minorEastAsia"/>
                <w:noProof/>
                <w:lang w:eastAsia="cs-CZ"/>
              </w:rPr>
              <w:tab/>
            </w:r>
            <w:r w:rsidR="00851303" w:rsidRPr="00B56750">
              <w:rPr>
                <w:rStyle w:val="Hypertextovodkaz"/>
                <w:noProof/>
              </w:rPr>
              <w:t>Lidské zdroje, věková a vzdělanostní struktura, kvalita</w:t>
            </w:r>
            <w:r w:rsidR="00851303">
              <w:rPr>
                <w:noProof/>
                <w:webHidden/>
              </w:rPr>
              <w:tab/>
            </w:r>
            <w:r w:rsidR="00851303">
              <w:rPr>
                <w:noProof/>
                <w:webHidden/>
              </w:rPr>
              <w:fldChar w:fldCharType="begin"/>
            </w:r>
            <w:r w:rsidR="00851303">
              <w:rPr>
                <w:noProof/>
                <w:webHidden/>
              </w:rPr>
              <w:instrText xml:space="preserve"> PAGEREF _Toc420056013 \h </w:instrText>
            </w:r>
            <w:r w:rsidR="00851303">
              <w:rPr>
                <w:noProof/>
                <w:webHidden/>
              </w:rPr>
            </w:r>
            <w:r w:rsidR="00851303">
              <w:rPr>
                <w:noProof/>
                <w:webHidden/>
              </w:rPr>
              <w:fldChar w:fldCharType="separate"/>
            </w:r>
            <w:r w:rsidR="00851303">
              <w:rPr>
                <w:noProof/>
                <w:webHidden/>
              </w:rPr>
              <w:t>51</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14" w:history="1">
            <w:r w:rsidR="00851303" w:rsidRPr="00B56750">
              <w:rPr>
                <w:rStyle w:val="Hypertextovodkaz"/>
                <w:rFonts w:eastAsiaTheme="majorEastAsia"/>
                <w:noProof/>
              </w:rPr>
              <w:t>4.3.1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Současný stav podpory vzdělávání v oblasti JE</w:t>
            </w:r>
            <w:r w:rsidR="00851303">
              <w:rPr>
                <w:noProof/>
                <w:webHidden/>
              </w:rPr>
              <w:tab/>
            </w:r>
            <w:r w:rsidR="00851303">
              <w:rPr>
                <w:noProof/>
                <w:webHidden/>
              </w:rPr>
              <w:fldChar w:fldCharType="begin"/>
            </w:r>
            <w:r w:rsidR="00851303">
              <w:rPr>
                <w:noProof/>
                <w:webHidden/>
              </w:rPr>
              <w:instrText xml:space="preserve"> PAGEREF _Toc420056014 \h </w:instrText>
            </w:r>
            <w:r w:rsidR="00851303">
              <w:rPr>
                <w:noProof/>
                <w:webHidden/>
              </w:rPr>
            </w:r>
            <w:r w:rsidR="00851303">
              <w:rPr>
                <w:noProof/>
                <w:webHidden/>
              </w:rPr>
              <w:fldChar w:fldCharType="separate"/>
            </w:r>
            <w:r w:rsidR="00851303">
              <w:rPr>
                <w:noProof/>
                <w:webHidden/>
              </w:rPr>
              <w:t>51</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15" w:history="1">
            <w:r w:rsidR="00851303" w:rsidRPr="00B56750">
              <w:rPr>
                <w:rStyle w:val="Hypertextovodkaz"/>
                <w:rFonts w:eastAsiaTheme="majorEastAsia"/>
                <w:noProof/>
              </w:rPr>
              <w:t>4.3.2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Stav a potřeby rozvoje lidských zdrojů pro zajištění dlouhodobě udržitelné JE</w:t>
            </w:r>
            <w:r w:rsidR="00851303">
              <w:rPr>
                <w:noProof/>
                <w:webHidden/>
              </w:rPr>
              <w:tab/>
            </w:r>
            <w:r w:rsidR="00851303">
              <w:rPr>
                <w:noProof/>
                <w:webHidden/>
              </w:rPr>
              <w:fldChar w:fldCharType="begin"/>
            </w:r>
            <w:r w:rsidR="00851303">
              <w:rPr>
                <w:noProof/>
                <w:webHidden/>
              </w:rPr>
              <w:instrText xml:space="preserve"> PAGEREF _Toc420056015 \h </w:instrText>
            </w:r>
            <w:r w:rsidR="00851303">
              <w:rPr>
                <w:noProof/>
                <w:webHidden/>
              </w:rPr>
            </w:r>
            <w:r w:rsidR="00851303">
              <w:rPr>
                <w:noProof/>
                <w:webHidden/>
              </w:rPr>
              <w:fldChar w:fldCharType="separate"/>
            </w:r>
            <w:r w:rsidR="00851303">
              <w:rPr>
                <w:noProof/>
                <w:webHidden/>
              </w:rPr>
              <w:t>52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16" w:history="1">
            <w:r w:rsidR="00851303" w:rsidRPr="00B56750">
              <w:rPr>
                <w:rStyle w:val="Hypertextovodkaz"/>
                <w:rFonts w:eastAsiaTheme="majorEastAsia"/>
                <w:noProof/>
              </w:rPr>
              <w:t>4.3.3</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Kritické předpoklady pro zajištění lidských zdrojů</w:t>
            </w:r>
            <w:r w:rsidR="00851303">
              <w:rPr>
                <w:noProof/>
                <w:webHidden/>
              </w:rPr>
              <w:tab/>
            </w:r>
            <w:r w:rsidR="00851303">
              <w:rPr>
                <w:noProof/>
                <w:webHidden/>
              </w:rPr>
              <w:fldChar w:fldCharType="begin"/>
            </w:r>
            <w:r w:rsidR="00851303">
              <w:rPr>
                <w:noProof/>
                <w:webHidden/>
              </w:rPr>
              <w:instrText xml:space="preserve"> PAGEREF _Toc420056016 \h </w:instrText>
            </w:r>
            <w:r w:rsidR="00851303">
              <w:rPr>
                <w:noProof/>
                <w:webHidden/>
              </w:rPr>
            </w:r>
            <w:r w:rsidR="00851303">
              <w:rPr>
                <w:noProof/>
                <w:webHidden/>
              </w:rPr>
              <w:fldChar w:fldCharType="separate"/>
            </w:r>
            <w:r w:rsidR="00851303">
              <w:rPr>
                <w:noProof/>
                <w:webHidden/>
              </w:rPr>
              <w:t>56</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17" w:history="1">
            <w:r w:rsidR="00851303" w:rsidRPr="00B56750">
              <w:rPr>
                <w:rStyle w:val="Hypertextovodkaz"/>
                <w:noProof/>
              </w:rPr>
              <w:t>4.4</w:t>
            </w:r>
            <w:r w:rsidR="00851303">
              <w:rPr>
                <w:rFonts w:eastAsiaTheme="minorEastAsia"/>
                <w:noProof/>
                <w:lang w:eastAsia="cs-CZ"/>
              </w:rPr>
              <w:tab/>
            </w:r>
            <w:r w:rsidR="00851303" w:rsidRPr="00B56750">
              <w:rPr>
                <w:rStyle w:val="Hypertextovodkaz"/>
                <w:noProof/>
              </w:rPr>
              <w:t>Stav průmyslové základny a její potenciál v dodavatelském řetězci</w:t>
            </w:r>
            <w:r w:rsidR="00851303">
              <w:rPr>
                <w:noProof/>
                <w:webHidden/>
              </w:rPr>
              <w:tab/>
            </w:r>
            <w:r w:rsidR="00851303">
              <w:rPr>
                <w:noProof/>
                <w:webHidden/>
              </w:rPr>
              <w:fldChar w:fldCharType="begin"/>
            </w:r>
            <w:r w:rsidR="00851303">
              <w:rPr>
                <w:noProof/>
                <w:webHidden/>
              </w:rPr>
              <w:instrText xml:space="preserve"> PAGEREF _Toc420056017 \h </w:instrText>
            </w:r>
            <w:r w:rsidR="00851303">
              <w:rPr>
                <w:noProof/>
                <w:webHidden/>
              </w:rPr>
            </w:r>
            <w:r w:rsidR="00851303">
              <w:rPr>
                <w:noProof/>
                <w:webHidden/>
              </w:rPr>
              <w:fldChar w:fldCharType="separate"/>
            </w:r>
            <w:r w:rsidR="00851303">
              <w:rPr>
                <w:noProof/>
                <w:webHidden/>
              </w:rPr>
              <w:t>57</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18" w:history="1">
            <w:r w:rsidR="00851303" w:rsidRPr="00B56750">
              <w:rPr>
                <w:rStyle w:val="Hypertextovodkaz"/>
                <w:noProof/>
              </w:rPr>
              <w:t>5</w:t>
            </w:r>
            <w:r w:rsidR="00851303">
              <w:rPr>
                <w:rFonts w:eastAsiaTheme="minorEastAsia"/>
                <w:noProof/>
                <w:lang w:eastAsia="cs-CZ"/>
              </w:rPr>
              <w:tab/>
            </w:r>
            <w:r w:rsidR="00851303" w:rsidRPr="00B56750">
              <w:rPr>
                <w:rStyle w:val="Hypertextovodkaz"/>
                <w:noProof/>
              </w:rPr>
              <w:t>Organizace sektoru a role státu</w:t>
            </w:r>
            <w:r w:rsidR="00851303">
              <w:rPr>
                <w:noProof/>
                <w:webHidden/>
              </w:rPr>
              <w:tab/>
            </w:r>
            <w:r w:rsidR="00851303">
              <w:rPr>
                <w:noProof/>
                <w:webHidden/>
              </w:rPr>
              <w:fldChar w:fldCharType="begin"/>
            </w:r>
            <w:r w:rsidR="00851303">
              <w:rPr>
                <w:noProof/>
                <w:webHidden/>
              </w:rPr>
              <w:instrText xml:space="preserve"> PAGEREF _Toc420056018 \h </w:instrText>
            </w:r>
            <w:r w:rsidR="00851303">
              <w:rPr>
                <w:noProof/>
                <w:webHidden/>
              </w:rPr>
            </w:r>
            <w:r w:rsidR="00851303">
              <w:rPr>
                <w:noProof/>
                <w:webHidden/>
              </w:rPr>
              <w:fldChar w:fldCharType="separate"/>
            </w:r>
            <w:r w:rsidR="00851303">
              <w:rPr>
                <w:noProof/>
                <w:webHidden/>
              </w:rPr>
              <w:t>59</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19" w:history="1">
            <w:r w:rsidR="00851303" w:rsidRPr="00B56750">
              <w:rPr>
                <w:rStyle w:val="Hypertextovodkaz"/>
                <w:noProof/>
              </w:rPr>
              <w:t>5.1</w:t>
            </w:r>
            <w:r w:rsidR="00851303">
              <w:rPr>
                <w:rFonts w:eastAsiaTheme="minorEastAsia"/>
                <w:noProof/>
                <w:lang w:eastAsia="cs-CZ"/>
              </w:rPr>
              <w:tab/>
            </w:r>
            <w:r w:rsidR="00851303" w:rsidRPr="00B56750">
              <w:rPr>
                <w:rStyle w:val="Hypertextovodkaz"/>
                <w:noProof/>
              </w:rPr>
              <w:t>Vize a akční plán</w:t>
            </w:r>
            <w:r w:rsidR="00851303">
              <w:rPr>
                <w:noProof/>
                <w:webHidden/>
              </w:rPr>
              <w:tab/>
            </w:r>
            <w:r w:rsidR="00851303">
              <w:rPr>
                <w:noProof/>
                <w:webHidden/>
              </w:rPr>
              <w:fldChar w:fldCharType="begin"/>
            </w:r>
            <w:r w:rsidR="00851303">
              <w:rPr>
                <w:noProof/>
                <w:webHidden/>
              </w:rPr>
              <w:instrText xml:space="preserve"> PAGEREF _Toc420056019 \h </w:instrText>
            </w:r>
            <w:r w:rsidR="00851303">
              <w:rPr>
                <w:noProof/>
                <w:webHidden/>
              </w:rPr>
            </w:r>
            <w:r w:rsidR="00851303">
              <w:rPr>
                <w:noProof/>
                <w:webHidden/>
              </w:rPr>
              <w:fldChar w:fldCharType="separate"/>
            </w:r>
            <w:r w:rsidR="00851303">
              <w:rPr>
                <w:noProof/>
                <w:webHidden/>
              </w:rPr>
              <w:t>59</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0" w:history="1">
            <w:r w:rsidR="00851303" w:rsidRPr="00B56750">
              <w:rPr>
                <w:rStyle w:val="Hypertextovodkaz"/>
                <w:noProof/>
              </w:rPr>
              <w:t>5.2</w:t>
            </w:r>
            <w:r w:rsidR="00851303">
              <w:rPr>
                <w:rFonts w:eastAsiaTheme="minorEastAsia"/>
                <w:noProof/>
                <w:lang w:eastAsia="cs-CZ"/>
              </w:rPr>
              <w:tab/>
            </w:r>
            <w:r w:rsidR="00851303" w:rsidRPr="00B56750">
              <w:rPr>
                <w:rStyle w:val="Hypertextovodkaz"/>
                <w:noProof/>
              </w:rPr>
              <w:t>Koordinace rozvoje jaderné energetiky</w:t>
            </w:r>
            <w:r w:rsidR="00851303">
              <w:rPr>
                <w:noProof/>
                <w:webHidden/>
              </w:rPr>
              <w:tab/>
            </w:r>
            <w:r w:rsidR="00851303">
              <w:rPr>
                <w:noProof/>
                <w:webHidden/>
              </w:rPr>
              <w:fldChar w:fldCharType="begin"/>
            </w:r>
            <w:r w:rsidR="00851303">
              <w:rPr>
                <w:noProof/>
                <w:webHidden/>
              </w:rPr>
              <w:instrText xml:space="preserve"> PAGEREF _Toc420056020 \h </w:instrText>
            </w:r>
            <w:r w:rsidR="00851303">
              <w:rPr>
                <w:noProof/>
                <w:webHidden/>
              </w:rPr>
            </w:r>
            <w:r w:rsidR="00851303">
              <w:rPr>
                <w:noProof/>
                <w:webHidden/>
              </w:rPr>
              <w:fldChar w:fldCharType="separate"/>
            </w:r>
            <w:r w:rsidR="00851303">
              <w:rPr>
                <w:noProof/>
                <w:webHidden/>
              </w:rPr>
              <w:t>60</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1" w:history="1">
            <w:r w:rsidR="00851303" w:rsidRPr="00B56750">
              <w:rPr>
                <w:rStyle w:val="Hypertextovodkaz"/>
                <w:noProof/>
              </w:rPr>
              <w:t>5.3</w:t>
            </w:r>
            <w:r w:rsidR="00851303">
              <w:rPr>
                <w:rFonts w:eastAsiaTheme="minorEastAsia"/>
                <w:noProof/>
                <w:lang w:eastAsia="cs-CZ"/>
              </w:rPr>
              <w:tab/>
            </w:r>
            <w:r w:rsidR="00851303" w:rsidRPr="00B56750">
              <w:rPr>
                <w:rStyle w:val="Hypertextovodkaz"/>
                <w:noProof/>
              </w:rPr>
              <w:t>Organizace dodavatelského řetězce</w:t>
            </w:r>
            <w:r w:rsidR="00851303">
              <w:rPr>
                <w:noProof/>
                <w:webHidden/>
              </w:rPr>
              <w:tab/>
            </w:r>
            <w:r w:rsidR="00851303">
              <w:rPr>
                <w:noProof/>
                <w:webHidden/>
              </w:rPr>
              <w:fldChar w:fldCharType="begin"/>
            </w:r>
            <w:r w:rsidR="00851303">
              <w:rPr>
                <w:noProof/>
                <w:webHidden/>
              </w:rPr>
              <w:instrText xml:space="preserve"> PAGEREF _Toc420056021 \h </w:instrText>
            </w:r>
            <w:r w:rsidR="00851303">
              <w:rPr>
                <w:noProof/>
                <w:webHidden/>
              </w:rPr>
            </w:r>
            <w:r w:rsidR="00851303">
              <w:rPr>
                <w:noProof/>
                <w:webHidden/>
              </w:rPr>
              <w:fldChar w:fldCharType="separate"/>
            </w:r>
            <w:r w:rsidR="00851303">
              <w:rPr>
                <w:noProof/>
                <w:webHidden/>
              </w:rPr>
              <w:t>61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2" w:history="1">
            <w:r w:rsidR="00851303" w:rsidRPr="00B56750">
              <w:rPr>
                <w:rStyle w:val="Hypertextovodkaz"/>
                <w:noProof/>
              </w:rPr>
              <w:t>5.4</w:t>
            </w:r>
            <w:r w:rsidR="00851303">
              <w:rPr>
                <w:rFonts w:eastAsiaTheme="minorEastAsia"/>
                <w:noProof/>
                <w:lang w:eastAsia="cs-CZ"/>
              </w:rPr>
              <w:tab/>
            </w:r>
            <w:r w:rsidR="00851303" w:rsidRPr="00B56750">
              <w:rPr>
                <w:rStyle w:val="Hypertextovodkaz"/>
                <w:noProof/>
              </w:rPr>
              <w:t>Nezávislý dozor</w:t>
            </w:r>
            <w:r w:rsidR="00851303">
              <w:rPr>
                <w:noProof/>
                <w:webHidden/>
              </w:rPr>
              <w:tab/>
            </w:r>
            <w:r w:rsidR="00851303">
              <w:rPr>
                <w:noProof/>
                <w:webHidden/>
              </w:rPr>
              <w:fldChar w:fldCharType="begin"/>
            </w:r>
            <w:r w:rsidR="00851303">
              <w:rPr>
                <w:noProof/>
                <w:webHidden/>
              </w:rPr>
              <w:instrText xml:space="preserve"> PAGEREF _Toc420056022 \h </w:instrText>
            </w:r>
            <w:r w:rsidR="00851303">
              <w:rPr>
                <w:noProof/>
                <w:webHidden/>
              </w:rPr>
            </w:r>
            <w:r w:rsidR="00851303">
              <w:rPr>
                <w:noProof/>
                <w:webHidden/>
              </w:rPr>
              <w:fldChar w:fldCharType="separate"/>
            </w:r>
            <w:r w:rsidR="00851303">
              <w:rPr>
                <w:noProof/>
                <w:webHidden/>
              </w:rPr>
              <w:t>61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3" w:history="1">
            <w:r w:rsidR="00851303" w:rsidRPr="00B56750">
              <w:rPr>
                <w:rStyle w:val="Hypertextovodkaz"/>
                <w:noProof/>
              </w:rPr>
              <w:t>5.5</w:t>
            </w:r>
            <w:r w:rsidR="00851303">
              <w:rPr>
                <w:rFonts w:eastAsiaTheme="minorEastAsia"/>
                <w:noProof/>
                <w:lang w:eastAsia="cs-CZ"/>
              </w:rPr>
              <w:tab/>
            </w:r>
            <w:r w:rsidR="00851303" w:rsidRPr="00B56750">
              <w:rPr>
                <w:rStyle w:val="Hypertextovodkaz"/>
                <w:noProof/>
              </w:rPr>
              <w:t>Nakládání s RAO</w:t>
            </w:r>
            <w:r w:rsidR="00851303">
              <w:rPr>
                <w:noProof/>
                <w:webHidden/>
              </w:rPr>
              <w:tab/>
            </w:r>
            <w:r w:rsidR="00851303">
              <w:rPr>
                <w:noProof/>
                <w:webHidden/>
              </w:rPr>
              <w:fldChar w:fldCharType="begin"/>
            </w:r>
            <w:r w:rsidR="00851303">
              <w:rPr>
                <w:noProof/>
                <w:webHidden/>
              </w:rPr>
              <w:instrText xml:space="preserve"> PAGEREF _Toc420056023 \h </w:instrText>
            </w:r>
            <w:r w:rsidR="00851303">
              <w:rPr>
                <w:noProof/>
                <w:webHidden/>
              </w:rPr>
            </w:r>
            <w:r w:rsidR="00851303">
              <w:rPr>
                <w:noProof/>
                <w:webHidden/>
              </w:rPr>
              <w:fldChar w:fldCharType="separate"/>
            </w:r>
            <w:r w:rsidR="00851303">
              <w:rPr>
                <w:noProof/>
                <w:webHidden/>
              </w:rPr>
              <w:t>61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4" w:history="1">
            <w:r w:rsidR="00851303" w:rsidRPr="00B56750">
              <w:rPr>
                <w:rStyle w:val="Hypertextovodkaz"/>
                <w:noProof/>
              </w:rPr>
              <w:t>5.6</w:t>
            </w:r>
            <w:r w:rsidR="00851303">
              <w:rPr>
                <w:rFonts w:eastAsiaTheme="minorEastAsia"/>
                <w:noProof/>
                <w:lang w:eastAsia="cs-CZ"/>
              </w:rPr>
              <w:tab/>
            </w:r>
            <w:r w:rsidR="00851303" w:rsidRPr="00B56750">
              <w:rPr>
                <w:rStyle w:val="Hypertextovodkaz"/>
                <w:noProof/>
              </w:rPr>
              <w:t>Koordinace výzkumu</w:t>
            </w:r>
            <w:r w:rsidR="00851303">
              <w:rPr>
                <w:noProof/>
                <w:webHidden/>
              </w:rPr>
              <w:tab/>
            </w:r>
            <w:r w:rsidR="00851303">
              <w:rPr>
                <w:noProof/>
                <w:webHidden/>
              </w:rPr>
              <w:fldChar w:fldCharType="begin"/>
            </w:r>
            <w:r w:rsidR="00851303">
              <w:rPr>
                <w:noProof/>
                <w:webHidden/>
              </w:rPr>
              <w:instrText xml:space="preserve"> PAGEREF _Toc420056024 \h </w:instrText>
            </w:r>
            <w:r w:rsidR="00851303">
              <w:rPr>
                <w:noProof/>
                <w:webHidden/>
              </w:rPr>
            </w:r>
            <w:r w:rsidR="00851303">
              <w:rPr>
                <w:noProof/>
                <w:webHidden/>
              </w:rPr>
              <w:fldChar w:fldCharType="separate"/>
            </w:r>
            <w:r w:rsidR="00851303">
              <w:rPr>
                <w:noProof/>
                <w:webHidden/>
              </w:rPr>
              <w:t>61</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25" w:history="1">
            <w:r w:rsidR="00851303" w:rsidRPr="00B56750">
              <w:rPr>
                <w:rStyle w:val="Hypertextovodkaz"/>
                <w:noProof/>
              </w:rPr>
              <w:t>6</w:t>
            </w:r>
            <w:r w:rsidR="00851303">
              <w:rPr>
                <w:rFonts w:eastAsiaTheme="minorEastAsia"/>
                <w:noProof/>
                <w:lang w:eastAsia="cs-CZ"/>
              </w:rPr>
              <w:tab/>
            </w:r>
            <w:r w:rsidR="00851303" w:rsidRPr="00B56750">
              <w:rPr>
                <w:rStyle w:val="Hypertextovodkaz"/>
                <w:noProof/>
              </w:rPr>
              <w:t>Výstavba nových jaderných zdrojů</w:t>
            </w:r>
            <w:r w:rsidR="00851303">
              <w:rPr>
                <w:noProof/>
                <w:webHidden/>
              </w:rPr>
              <w:tab/>
            </w:r>
            <w:r w:rsidR="00851303">
              <w:rPr>
                <w:noProof/>
                <w:webHidden/>
              </w:rPr>
              <w:fldChar w:fldCharType="begin"/>
            </w:r>
            <w:r w:rsidR="00851303">
              <w:rPr>
                <w:noProof/>
                <w:webHidden/>
              </w:rPr>
              <w:instrText xml:space="preserve"> PAGEREF _Toc420056025 \h </w:instrText>
            </w:r>
            <w:r w:rsidR="00851303">
              <w:rPr>
                <w:noProof/>
                <w:webHidden/>
              </w:rPr>
            </w:r>
            <w:r w:rsidR="00851303">
              <w:rPr>
                <w:noProof/>
                <w:webHidden/>
              </w:rPr>
              <w:fldChar w:fldCharType="separate"/>
            </w:r>
            <w:r w:rsidR="00851303">
              <w:rPr>
                <w:noProof/>
                <w:webHidden/>
              </w:rPr>
              <w:t>62</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6" w:history="1">
            <w:r w:rsidR="00851303" w:rsidRPr="00B56750">
              <w:rPr>
                <w:rStyle w:val="Hypertextovodkaz"/>
                <w:noProof/>
              </w:rPr>
              <w:t>6.1</w:t>
            </w:r>
            <w:r w:rsidR="00851303">
              <w:rPr>
                <w:rFonts w:eastAsiaTheme="minorEastAsia"/>
                <w:noProof/>
                <w:lang w:eastAsia="cs-CZ"/>
              </w:rPr>
              <w:tab/>
            </w:r>
            <w:r w:rsidR="00851303" w:rsidRPr="00B56750">
              <w:rPr>
                <w:rStyle w:val="Hypertextovodkaz"/>
                <w:noProof/>
              </w:rPr>
              <w:t>Lokality</w:t>
            </w:r>
            <w:r w:rsidR="00851303">
              <w:rPr>
                <w:noProof/>
                <w:webHidden/>
              </w:rPr>
              <w:tab/>
            </w:r>
            <w:r w:rsidR="00851303">
              <w:rPr>
                <w:noProof/>
                <w:webHidden/>
              </w:rPr>
              <w:fldChar w:fldCharType="begin"/>
            </w:r>
            <w:r w:rsidR="00851303">
              <w:rPr>
                <w:noProof/>
                <w:webHidden/>
              </w:rPr>
              <w:instrText xml:space="preserve"> PAGEREF _Toc420056026 \h </w:instrText>
            </w:r>
            <w:r w:rsidR="00851303">
              <w:rPr>
                <w:noProof/>
                <w:webHidden/>
              </w:rPr>
            </w:r>
            <w:r w:rsidR="00851303">
              <w:rPr>
                <w:noProof/>
                <w:webHidden/>
              </w:rPr>
              <w:fldChar w:fldCharType="separate"/>
            </w:r>
            <w:r w:rsidR="00851303">
              <w:rPr>
                <w:noProof/>
                <w:webHidden/>
              </w:rPr>
              <w:t>62</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27" w:history="1">
            <w:r w:rsidR="00851303" w:rsidRPr="00B56750">
              <w:rPr>
                <w:rStyle w:val="Hypertextovodkaz"/>
                <w:noProof/>
              </w:rPr>
              <w:t>6.2</w:t>
            </w:r>
            <w:r w:rsidR="00851303">
              <w:rPr>
                <w:rFonts w:eastAsiaTheme="minorEastAsia"/>
                <w:noProof/>
                <w:lang w:eastAsia="cs-CZ"/>
              </w:rPr>
              <w:tab/>
            </w:r>
            <w:r w:rsidR="00851303" w:rsidRPr="00B56750">
              <w:rPr>
                <w:rStyle w:val="Hypertextovodkaz"/>
                <w:noProof/>
              </w:rPr>
              <w:t>Investiční model</w:t>
            </w:r>
            <w:r w:rsidR="00851303">
              <w:rPr>
                <w:noProof/>
                <w:webHidden/>
              </w:rPr>
              <w:tab/>
            </w:r>
            <w:r w:rsidR="00851303">
              <w:rPr>
                <w:noProof/>
                <w:webHidden/>
              </w:rPr>
              <w:fldChar w:fldCharType="begin"/>
            </w:r>
            <w:r w:rsidR="00851303">
              <w:rPr>
                <w:noProof/>
                <w:webHidden/>
              </w:rPr>
              <w:instrText xml:space="preserve"> PAGEREF _Toc420056027 \h </w:instrText>
            </w:r>
            <w:r w:rsidR="00851303">
              <w:rPr>
                <w:noProof/>
                <w:webHidden/>
              </w:rPr>
            </w:r>
            <w:r w:rsidR="00851303">
              <w:rPr>
                <w:noProof/>
                <w:webHidden/>
              </w:rPr>
              <w:fldChar w:fldCharType="separate"/>
            </w:r>
            <w:r w:rsidR="00851303">
              <w:rPr>
                <w:noProof/>
                <w:webHidden/>
              </w:rPr>
              <w:t>63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28" w:history="1">
            <w:r w:rsidR="00851303" w:rsidRPr="00B56750">
              <w:rPr>
                <w:rStyle w:val="Hypertextovodkaz"/>
                <w:rFonts w:eastAsiaTheme="majorEastAsia"/>
                <w:noProof/>
              </w:rPr>
              <w:t>6.2.1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Podíl domácích dodavatelských firem</w:t>
            </w:r>
            <w:r w:rsidR="00851303">
              <w:rPr>
                <w:noProof/>
                <w:webHidden/>
              </w:rPr>
              <w:tab/>
            </w:r>
            <w:r w:rsidR="00851303">
              <w:rPr>
                <w:noProof/>
                <w:webHidden/>
              </w:rPr>
              <w:fldChar w:fldCharType="begin"/>
            </w:r>
            <w:r w:rsidR="00851303">
              <w:rPr>
                <w:noProof/>
                <w:webHidden/>
              </w:rPr>
              <w:instrText xml:space="preserve"> PAGEREF _Toc420056028 \h </w:instrText>
            </w:r>
            <w:r w:rsidR="00851303">
              <w:rPr>
                <w:noProof/>
                <w:webHidden/>
              </w:rPr>
            </w:r>
            <w:r w:rsidR="00851303">
              <w:rPr>
                <w:noProof/>
                <w:webHidden/>
              </w:rPr>
              <w:fldChar w:fldCharType="separate"/>
            </w:r>
            <w:r w:rsidR="00851303">
              <w:rPr>
                <w:noProof/>
                <w:webHidden/>
              </w:rPr>
              <w:t>66</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29" w:history="1">
            <w:r w:rsidR="00851303" w:rsidRPr="00B56750">
              <w:rPr>
                <w:rStyle w:val="Hypertextovodkaz"/>
                <w:rFonts w:eastAsiaTheme="majorEastAsia"/>
                <w:noProof/>
              </w:rPr>
              <w:t>6.2.2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Doporučený postup přípravy NJZ</w:t>
            </w:r>
            <w:r w:rsidR="00851303">
              <w:rPr>
                <w:noProof/>
                <w:webHidden/>
              </w:rPr>
              <w:tab/>
            </w:r>
            <w:r w:rsidR="00851303">
              <w:rPr>
                <w:noProof/>
                <w:webHidden/>
              </w:rPr>
              <w:fldChar w:fldCharType="begin"/>
            </w:r>
            <w:r w:rsidR="00851303">
              <w:rPr>
                <w:noProof/>
                <w:webHidden/>
              </w:rPr>
              <w:instrText xml:space="preserve"> PAGEREF _Toc420056029 \h </w:instrText>
            </w:r>
            <w:r w:rsidR="00851303">
              <w:rPr>
                <w:noProof/>
                <w:webHidden/>
              </w:rPr>
            </w:r>
            <w:r w:rsidR="00851303">
              <w:rPr>
                <w:noProof/>
                <w:webHidden/>
              </w:rPr>
              <w:fldChar w:fldCharType="separate"/>
            </w:r>
            <w:r w:rsidR="00851303">
              <w:rPr>
                <w:noProof/>
                <w:webHidden/>
              </w:rPr>
              <w:t>66</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30" w:history="1">
            <w:r w:rsidR="00851303" w:rsidRPr="00B56750">
              <w:rPr>
                <w:rStyle w:val="Hypertextovodkaz"/>
                <w:noProof/>
              </w:rPr>
              <w:t>6.3</w:t>
            </w:r>
            <w:r w:rsidR="00851303">
              <w:rPr>
                <w:rFonts w:eastAsiaTheme="minorEastAsia"/>
                <w:noProof/>
                <w:lang w:eastAsia="cs-CZ"/>
              </w:rPr>
              <w:tab/>
            </w:r>
            <w:r w:rsidR="00851303" w:rsidRPr="00B56750">
              <w:rPr>
                <w:rStyle w:val="Hypertextovodkaz"/>
                <w:noProof/>
              </w:rPr>
              <w:t>Ekonomické a termínové aspekty výstavby NJZ</w:t>
            </w:r>
            <w:r w:rsidR="00851303">
              <w:rPr>
                <w:noProof/>
                <w:webHidden/>
              </w:rPr>
              <w:tab/>
            </w:r>
            <w:r w:rsidR="00851303">
              <w:rPr>
                <w:noProof/>
                <w:webHidden/>
              </w:rPr>
              <w:fldChar w:fldCharType="begin"/>
            </w:r>
            <w:r w:rsidR="00851303">
              <w:rPr>
                <w:noProof/>
                <w:webHidden/>
              </w:rPr>
              <w:instrText xml:space="preserve"> PAGEREF _Toc420056030 \h </w:instrText>
            </w:r>
            <w:r w:rsidR="00851303">
              <w:rPr>
                <w:noProof/>
                <w:webHidden/>
              </w:rPr>
            </w:r>
            <w:r w:rsidR="00851303">
              <w:rPr>
                <w:noProof/>
                <w:webHidden/>
              </w:rPr>
              <w:fldChar w:fldCharType="separate"/>
            </w:r>
            <w:r w:rsidR="00851303">
              <w:rPr>
                <w:noProof/>
                <w:webHidden/>
              </w:rPr>
              <w:t>67</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31" w:history="1">
            <w:r w:rsidR="00851303" w:rsidRPr="00B56750">
              <w:rPr>
                <w:rStyle w:val="Hypertextovodkaz"/>
                <w:rFonts w:eastAsiaTheme="majorEastAsia"/>
                <w:noProof/>
              </w:rPr>
              <w:t>6.3.1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Obecné modelové předpoklady pro analýzu</w:t>
            </w:r>
            <w:r w:rsidR="00851303">
              <w:rPr>
                <w:noProof/>
                <w:webHidden/>
              </w:rPr>
              <w:tab/>
            </w:r>
            <w:r w:rsidR="00851303">
              <w:rPr>
                <w:noProof/>
                <w:webHidden/>
              </w:rPr>
              <w:fldChar w:fldCharType="begin"/>
            </w:r>
            <w:r w:rsidR="00851303">
              <w:rPr>
                <w:noProof/>
                <w:webHidden/>
              </w:rPr>
              <w:instrText xml:space="preserve"> PAGEREF _Toc420056031 \h </w:instrText>
            </w:r>
            <w:r w:rsidR="00851303">
              <w:rPr>
                <w:noProof/>
                <w:webHidden/>
              </w:rPr>
            </w:r>
            <w:r w:rsidR="00851303">
              <w:rPr>
                <w:noProof/>
                <w:webHidden/>
              </w:rPr>
              <w:fldChar w:fldCharType="separate"/>
            </w:r>
            <w:r w:rsidR="00851303">
              <w:rPr>
                <w:noProof/>
                <w:webHidden/>
              </w:rPr>
              <w:t>67</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32" w:history="1">
            <w:r w:rsidR="00851303" w:rsidRPr="00B56750">
              <w:rPr>
                <w:rStyle w:val="Hypertextovodkaz"/>
                <w:rFonts w:eastAsiaTheme="majorEastAsia"/>
                <w:noProof/>
              </w:rPr>
              <w:t>6.3.2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Zajištění návratnosti investice ve variantě s použitím CfD</w:t>
            </w:r>
            <w:r w:rsidR="00851303">
              <w:rPr>
                <w:noProof/>
                <w:webHidden/>
              </w:rPr>
              <w:tab/>
            </w:r>
            <w:r w:rsidR="00851303">
              <w:rPr>
                <w:noProof/>
                <w:webHidden/>
              </w:rPr>
              <w:fldChar w:fldCharType="begin"/>
            </w:r>
            <w:r w:rsidR="00851303">
              <w:rPr>
                <w:noProof/>
                <w:webHidden/>
              </w:rPr>
              <w:instrText xml:space="preserve"> PAGEREF _Toc420056032 \h </w:instrText>
            </w:r>
            <w:r w:rsidR="00851303">
              <w:rPr>
                <w:noProof/>
                <w:webHidden/>
              </w:rPr>
            </w:r>
            <w:r w:rsidR="00851303">
              <w:rPr>
                <w:noProof/>
                <w:webHidden/>
              </w:rPr>
              <w:fldChar w:fldCharType="separate"/>
            </w:r>
            <w:r w:rsidR="00851303">
              <w:rPr>
                <w:noProof/>
                <w:webHidden/>
              </w:rPr>
              <w:t>72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33" w:history="1">
            <w:r w:rsidR="00851303" w:rsidRPr="00B56750">
              <w:rPr>
                <w:rStyle w:val="Hypertextovodkaz"/>
                <w:rFonts w:eastAsiaTheme="majorEastAsia"/>
                <w:noProof/>
              </w:rPr>
              <w:t>6.3.3</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Zajištění návratnosti investice ve variantě přímé výstavby ze strany státu -  modelový příklad</w:t>
            </w:r>
            <w:r w:rsidR="00851303">
              <w:rPr>
                <w:noProof/>
                <w:webHidden/>
              </w:rPr>
              <w:tab/>
            </w:r>
            <w:r w:rsidR="00851303">
              <w:rPr>
                <w:noProof/>
                <w:webHidden/>
              </w:rPr>
              <w:fldChar w:fldCharType="begin"/>
            </w:r>
            <w:r w:rsidR="00851303">
              <w:rPr>
                <w:noProof/>
                <w:webHidden/>
              </w:rPr>
              <w:instrText xml:space="preserve"> PAGEREF _Toc420056033 \h </w:instrText>
            </w:r>
            <w:r w:rsidR="00851303">
              <w:rPr>
                <w:noProof/>
                <w:webHidden/>
              </w:rPr>
            </w:r>
            <w:r w:rsidR="00851303">
              <w:rPr>
                <w:noProof/>
                <w:webHidden/>
              </w:rPr>
              <w:fldChar w:fldCharType="separate"/>
            </w:r>
            <w:r w:rsidR="00851303">
              <w:rPr>
                <w:noProof/>
                <w:webHidden/>
              </w:rPr>
              <w:t>78</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34" w:history="1">
            <w:r w:rsidR="00851303" w:rsidRPr="00B56750">
              <w:rPr>
                <w:rStyle w:val="Hypertextovodkaz"/>
                <w:noProof/>
              </w:rPr>
              <w:t>6.4</w:t>
            </w:r>
            <w:r w:rsidR="00851303">
              <w:rPr>
                <w:rFonts w:eastAsiaTheme="minorEastAsia"/>
                <w:noProof/>
                <w:lang w:eastAsia="cs-CZ"/>
              </w:rPr>
              <w:tab/>
            </w:r>
            <w:r w:rsidR="00851303" w:rsidRPr="00B56750">
              <w:rPr>
                <w:rStyle w:val="Hypertextovodkaz"/>
                <w:noProof/>
              </w:rPr>
              <w:t>Varianty obchodního zajištění</w:t>
            </w:r>
            <w:r w:rsidR="00851303">
              <w:rPr>
                <w:noProof/>
                <w:webHidden/>
              </w:rPr>
              <w:tab/>
            </w:r>
            <w:r w:rsidR="00851303">
              <w:rPr>
                <w:noProof/>
                <w:webHidden/>
              </w:rPr>
              <w:fldChar w:fldCharType="begin"/>
            </w:r>
            <w:r w:rsidR="00851303">
              <w:rPr>
                <w:noProof/>
                <w:webHidden/>
              </w:rPr>
              <w:instrText xml:space="preserve"> PAGEREF _Toc420056034 \h </w:instrText>
            </w:r>
            <w:r w:rsidR="00851303">
              <w:rPr>
                <w:noProof/>
                <w:webHidden/>
              </w:rPr>
            </w:r>
            <w:r w:rsidR="00851303">
              <w:rPr>
                <w:noProof/>
                <w:webHidden/>
              </w:rPr>
              <w:fldChar w:fldCharType="separate"/>
            </w:r>
            <w:r w:rsidR="00851303">
              <w:rPr>
                <w:noProof/>
                <w:webHidden/>
              </w:rPr>
              <w:t>80</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35" w:history="1">
            <w:r w:rsidR="00851303" w:rsidRPr="00B56750">
              <w:rPr>
                <w:rStyle w:val="Hypertextovodkaz"/>
                <w:noProof/>
              </w:rPr>
              <w:t>6.5</w:t>
            </w:r>
            <w:r w:rsidR="00851303">
              <w:rPr>
                <w:rFonts w:eastAsiaTheme="minorEastAsia"/>
                <w:noProof/>
                <w:lang w:eastAsia="cs-CZ"/>
              </w:rPr>
              <w:tab/>
            </w:r>
            <w:r w:rsidR="00851303" w:rsidRPr="00B56750">
              <w:rPr>
                <w:rStyle w:val="Hypertextovodkaz"/>
                <w:noProof/>
              </w:rPr>
              <w:t>Shrnutí doporučených kroků pro výstavbu nových jaderných zdrojů v ČR</w:t>
            </w:r>
            <w:r w:rsidR="00851303">
              <w:rPr>
                <w:noProof/>
                <w:webHidden/>
              </w:rPr>
              <w:tab/>
            </w:r>
            <w:r w:rsidR="00851303">
              <w:rPr>
                <w:noProof/>
                <w:webHidden/>
              </w:rPr>
              <w:fldChar w:fldCharType="begin"/>
            </w:r>
            <w:r w:rsidR="00851303">
              <w:rPr>
                <w:noProof/>
                <w:webHidden/>
              </w:rPr>
              <w:instrText xml:space="preserve"> PAGEREF _Toc420056035 \h </w:instrText>
            </w:r>
            <w:r w:rsidR="00851303">
              <w:rPr>
                <w:noProof/>
                <w:webHidden/>
              </w:rPr>
            </w:r>
            <w:r w:rsidR="00851303">
              <w:rPr>
                <w:noProof/>
                <w:webHidden/>
              </w:rPr>
              <w:fldChar w:fldCharType="separate"/>
            </w:r>
            <w:r w:rsidR="00851303">
              <w:rPr>
                <w:noProof/>
                <w:webHidden/>
              </w:rPr>
              <w:t>81</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36" w:history="1">
            <w:r w:rsidR="00851303" w:rsidRPr="00B56750">
              <w:rPr>
                <w:rStyle w:val="Hypertextovodkaz"/>
                <w:noProof/>
              </w:rPr>
              <w:t>7</w:t>
            </w:r>
            <w:r w:rsidR="00851303">
              <w:rPr>
                <w:rFonts w:eastAsiaTheme="minorEastAsia"/>
                <w:noProof/>
                <w:lang w:eastAsia="cs-CZ"/>
              </w:rPr>
              <w:tab/>
            </w:r>
            <w:r w:rsidR="00851303" w:rsidRPr="00B56750">
              <w:rPr>
                <w:rStyle w:val="Hypertextovodkaz"/>
                <w:noProof/>
              </w:rPr>
              <w:t>Kritické předpoklady pro dosažení cílů rozvoje jaderné energetiky</w:t>
            </w:r>
            <w:r w:rsidR="00851303">
              <w:rPr>
                <w:noProof/>
                <w:webHidden/>
              </w:rPr>
              <w:tab/>
            </w:r>
            <w:r w:rsidR="00851303">
              <w:rPr>
                <w:noProof/>
                <w:webHidden/>
              </w:rPr>
              <w:fldChar w:fldCharType="begin"/>
            </w:r>
            <w:r w:rsidR="00851303">
              <w:rPr>
                <w:noProof/>
                <w:webHidden/>
              </w:rPr>
              <w:instrText xml:space="preserve"> PAGEREF _Toc420056036 \h </w:instrText>
            </w:r>
            <w:r w:rsidR="00851303">
              <w:rPr>
                <w:noProof/>
                <w:webHidden/>
              </w:rPr>
            </w:r>
            <w:r w:rsidR="00851303">
              <w:rPr>
                <w:noProof/>
                <w:webHidden/>
              </w:rPr>
              <w:fldChar w:fldCharType="separate"/>
            </w:r>
            <w:r w:rsidR="00851303">
              <w:rPr>
                <w:noProof/>
                <w:webHidden/>
              </w:rPr>
              <w:t>82</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37" w:history="1">
            <w:r w:rsidR="00851303" w:rsidRPr="00B56750">
              <w:rPr>
                <w:rStyle w:val="Hypertextovodkaz"/>
                <w:noProof/>
              </w:rPr>
              <w:t>8</w:t>
            </w:r>
            <w:r w:rsidR="00851303">
              <w:rPr>
                <w:rFonts w:eastAsiaTheme="minorEastAsia"/>
                <w:noProof/>
                <w:lang w:eastAsia="cs-CZ"/>
              </w:rPr>
              <w:tab/>
            </w:r>
            <w:r w:rsidR="00851303" w:rsidRPr="00B56750">
              <w:rPr>
                <w:rStyle w:val="Hypertextovodkaz"/>
                <w:noProof/>
              </w:rPr>
              <w:t>Priority rozvoje JE, opatření v jednotlivých oblastech</w:t>
            </w:r>
            <w:r w:rsidR="00851303">
              <w:rPr>
                <w:noProof/>
                <w:webHidden/>
              </w:rPr>
              <w:tab/>
            </w:r>
            <w:r w:rsidR="00851303">
              <w:rPr>
                <w:noProof/>
                <w:webHidden/>
              </w:rPr>
              <w:fldChar w:fldCharType="begin"/>
            </w:r>
            <w:r w:rsidR="00851303">
              <w:rPr>
                <w:noProof/>
                <w:webHidden/>
              </w:rPr>
              <w:instrText xml:space="preserve"> PAGEREF _Toc420056037 \h </w:instrText>
            </w:r>
            <w:r w:rsidR="00851303">
              <w:rPr>
                <w:noProof/>
                <w:webHidden/>
              </w:rPr>
            </w:r>
            <w:r w:rsidR="00851303">
              <w:rPr>
                <w:noProof/>
                <w:webHidden/>
              </w:rPr>
              <w:fldChar w:fldCharType="separate"/>
            </w:r>
            <w:r w:rsidR="00851303">
              <w:rPr>
                <w:noProof/>
                <w:webHidden/>
              </w:rPr>
              <w:t>83</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38" w:history="1">
            <w:r w:rsidR="00851303" w:rsidRPr="00B56750">
              <w:rPr>
                <w:rStyle w:val="Hypertextovodkaz"/>
                <w:noProof/>
              </w:rPr>
              <w:t>8.1</w:t>
            </w:r>
            <w:r w:rsidR="00851303">
              <w:rPr>
                <w:rFonts w:eastAsiaTheme="minorEastAsia"/>
                <w:noProof/>
                <w:lang w:eastAsia="cs-CZ"/>
              </w:rPr>
              <w:tab/>
            </w:r>
            <w:r w:rsidR="00851303" w:rsidRPr="00B56750">
              <w:rPr>
                <w:rStyle w:val="Hypertextovodkaz"/>
                <w:noProof/>
              </w:rPr>
              <w:t>Zajištění jaderné bezpečnosti</w:t>
            </w:r>
            <w:r w:rsidR="00851303">
              <w:rPr>
                <w:noProof/>
                <w:webHidden/>
              </w:rPr>
              <w:tab/>
            </w:r>
            <w:r w:rsidR="00851303">
              <w:rPr>
                <w:noProof/>
                <w:webHidden/>
              </w:rPr>
              <w:fldChar w:fldCharType="begin"/>
            </w:r>
            <w:r w:rsidR="00851303">
              <w:rPr>
                <w:noProof/>
                <w:webHidden/>
              </w:rPr>
              <w:instrText xml:space="preserve"> PAGEREF _Toc420056038 \h </w:instrText>
            </w:r>
            <w:r w:rsidR="00851303">
              <w:rPr>
                <w:noProof/>
                <w:webHidden/>
              </w:rPr>
            </w:r>
            <w:r w:rsidR="00851303">
              <w:rPr>
                <w:noProof/>
                <w:webHidden/>
              </w:rPr>
              <w:fldChar w:fldCharType="separate"/>
            </w:r>
            <w:r w:rsidR="00851303">
              <w:rPr>
                <w:noProof/>
                <w:webHidden/>
              </w:rPr>
              <w:t>83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39" w:history="1">
            <w:r w:rsidR="00851303" w:rsidRPr="00B56750">
              <w:rPr>
                <w:rStyle w:val="Hypertextovodkaz"/>
                <w:rFonts w:eastAsiaTheme="majorEastAsia"/>
                <w:noProof/>
              </w:rPr>
              <w:t>8.1.1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posílení jaderné bezpečnosti</w:t>
            </w:r>
            <w:r w:rsidR="00851303">
              <w:rPr>
                <w:noProof/>
                <w:webHidden/>
              </w:rPr>
              <w:tab/>
            </w:r>
            <w:r w:rsidR="00851303">
              <w:rPr>
                <w:noProof/>
                <w:webHidden/>
              </w:rPr>
              <w:fldChar w:fldCharType="begin"/>
            </w:r>
            <w:r w:rsidR="00851303">
              <w:rPr>
                <w:noProof/>
                <w:webHidden/>
              </w:rPr>
              <w:instrText xml:space="preserve"> PAGEREF _Toc420056039 \h </w:instrText>
            </w:r>
            <w:r w:rsidR="00851303">
              <w:rPr>
                <w:noProof/>
                <w:webHidden/>
              </w:rPr>
            </w:r>
            <w:r w:rsidR="00851303">
              <w:rPr>
                <w:noProof/>
                <w:webHidden/>
              </w:rPr>
              <w:fldChar w:fldCharType="separate"/>
            </w:r>
            <w:r w:rsidR="00851303">
              <w:rPr>
                <w:noProof/>
                <w:webHidden/>
              </w:rPr>
              <w:t>83</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40" w:history="1">
            <w:r w:rsidR="00851303" w:rsidRPr="00B56750">
              <w:rPr>
                <w:rStyle w:val="Hypertextovodkaz"/>
                <w:noProof/>
              </w:rPr>
              <w:t>8.2</w:t>
            </w:r>
            <w:r w:rsidR="00851303">
              <w:rPr>
                <w:rFonts w:eastAsiaTheme="minorEastAsia"/>
                <w:noProof/>
                <w:lang w:eastAsia="cs-CZ"/>
              </w:rPr>
              <w:tab/>
            </w:r>
            <w:r w:rsidR="00851303" w:rsidRPr="00B56750">
              <w:rPr>
                <w:rStyle w:val="Hypertextovodkaz"/>
                <w:noProof/>
              </w:rPr>
              <w:t>Role státu a organizace sektoru jaderné energetiky</w:t>
            </w:r>
            <w:r w:rsidR="00851303">
              <w:rPr>
                <w:noProof/>
                <w:webHidden/>
              </w:rPr>
              <w:tab/>
            </w:r>
            <w:r w:rsidR="00851303">
              <w:rPr>
                <w:noProof/>
                <w:webHidden/>
              </w:rPr>
              <w:fldChar w:fldCharType="begin"/>
            </w:r>
            <w:r w:rsidR="00851303">
              <w:rPr>
                <w:noProof/>
                <w:webHidden/>
              </w:rPr>
              <w:instrText xml:space="preserve"> PAGEREF _Toc420056040 \h </w:instrText>
            </w:r>
            <w:r w:rsidR="00851303">
              <w:rPr>
                <w:noProof/>
                <w:webHidden/>
              </w:rPr>
            </w:r>
            <w:r w:rsidR="00851303">
              <w:rPr>
                <w:noProof/>
                <w:webHidden/>
              </w:rPr>
              <w:fldChar w:fldCharType="separate"/>
            </w:r>
            <w:r w:rsidR="00851303">
              <w:rPr>
                <w:noProof/>
                <w:webHidden/>
              </w:rPr>
              <w:t>83</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1" w:history="1">
            <w:r w:rsidR="00851303" w:rsidRPr="00B56750">
              <w:rPr>
                <w:rStyle w:val="Hypertextovodkaz"/>
                <w:rFonts w:eastAsiaTheme="majorEastAsia"/>
                <w:noProof/>
              </w:rPr>
              <w:t>8.2.1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Stabilizace ekonomického prostředí</w:t>
            </w:r>
            <w:r w:rsidR="00851303">
              <w:rPr>
                <w:noProof/>
                <w:webHidden/>
              </w:rPr>
              <w:tab/>
            </w:r>
            <w:r w:rsidR="00851303">
              <w:rPr>
                <w:noProof/>
                <w:webHidden/>
              </w:rPr>
              <w:fldChar w:fldCharType="begin"/>
            </w:r>
            <w:r w:rsidR="00851303">
              <w:rPr>
                <w:noProof/>
                <w:webHidden/>
              </w:rPr>
              <w:instrText xml:space="preserve"> PAGEREF _Toc420056041 \h </w:instrText>
            </w:r>
            <w:r w:rsidR="00851303">
              <w:rPr>
                <w:noProof/>
                <w:webHidden/>
              </w:rPr>
            </w:r>
            <w:r w:rsidR="00851303">
              <w:rPr>
                <w:noProof/>
                <w:webHidden/>
              </w:rPr>
              <w:fldChar w:fldCharType="separate"/>
            </w:r>
            <w:r w:rsidR="00851303">
              <w:rPr>
                <w:noProof/>
                <w:webHidden/>
              </w:rPr>
              <w:t>84</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2" w:history="1">
            <w:r w:rsidR="00851303" w:rsidRPr="00B56750">
              <w:rPr>
                <w:rStyle w:val="Hypertextovodkaz"/>
                <w:rFonts w:eastAsiaTheme="majorEastAsia"/>
                <w:noProof/>
              </w:rPr>
              <w:t>8.2.2</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Rozvoj legislativy v oblasti povolovacích řízení</w:t>
            </w:r>
            <w:r w:rsidR="00851303">
              <w:rPr>
                <w:noProof/>
                <w:webHidden/>
              </w:rPr>
              <w:tab/>
            </w:r>
            <w:r w:rsidR="00851303">
              <w:rPr>
                <w:noProof/>
                <w:webHidden/>
              </w:rPr>
              <w:fldChar w:fldCharType="begin"/>
            </w:r>
            <w:r w:rsidR="00851303">
              <w:rPr>
                <w:noProof/>
                <w:webHidden/>
              </w:rPr>
              <w:instrText xml:space="preserve"> PAGEREF _Toc420056042 \h </w:instrText>
            </w:r>
            <w:r w:rsidR="00851303">
              <w:rPr>
                <w:noProof/>
                <w:webHidden/>
              </w:rPr>
            </w:r>
            <w:r w:rsidR="00851303">
              <w:rPr>
                <w:noProof/>
                <w:webHidden/>
              </w:rPr>
              <w:fldChar w:fldCharType="separate"/>
            </w:r>
            <w:r w:rsidR="00851303">
              <w:rPr>
                <w:noProof/>
                <w:webHidden/>
              </w:rPr>
              <w:t>84</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3" w:history="1">
            <w:r w:rsidR="00851303" w:rsidRPr="00B56750">
              <w:rPr>
                <w:rStyle w:val="Hypertextovodkaz"/>
                <w:rFonts w:eastAsiaTheme="majorEastAsia"/>
                <w:noProof/>
              </w:rPr>
              <w:t>8.2.3</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v oblasti organizace sektoru jaderné energetiky</w:t>
            </w:r>
            <w:r w:rsidR="00851303">
              <w:rPr>
                <w:noProof/>
                <w:webHidden/>
              </w:rPr>
              <w:tab/>
            </w:r>
            <w:r w:rsidR="00851303">
              <w:rPr>
                <w:noProof/>
                <w:webHidden/>
              </w:rPr>
              <w:fldChar w:fldCharType="begin"/>
            </w:r>
            <w:r w:rsidR="00851303">
              <w:rPr>
                <w:noProof/>
                <w:webHidden/>
              </w:rPr>
              <w:instrText xml:space="preserve"> PAGEREF _Toc420056043 \h </w:instrText>
            </w:r>
            <w:r w:rsidR="00851303">
              <w:rPr>
                <w:noProof/>
                <w:webHidden/>
              </w:rPr>
            </w:r>
            <w:r w:rsidR="00851303">
              <w:rPr>
                <w:noProof/>
                <w:webHidden/>
              </w:rPr>
              <w:fldChar w:fldCharType="separate"/>
            </w:r>
            <w:r w:rsidR="00851303">
              <w:rPr>
                <w:noProof/>
                <w:webHidden/>
              </w:rPr>
              <w:t>85</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44" w:history="1">
            <w:r w:rsidR="00851303" w:rsidRPr="00B56750">
              <w:rPr>
                <w:rStyle w:val="Hypertextovodkaz"/>
                <w:noProof/>
              </w:rPr>
              <w:t>8.3</w:t>
            </w:r>
            <w:r w:rsidR="00851303">
              <w:rPr>
                <w:rFonts w:eastAsiaTheme="minorEastAsia"/>
                <w:noProof/>
                <w:lang w:eastAsia="cs-CZ"/>
              </w:rPr>
              <w:tab/>
            </w:r>
            <w:r w:rsidR="00851303" w:rsidRPr="00B56750">
              <w:rPr>
                <w:rStyle w:val="Hypertextovodkaz"/>
                <w:noProof/>
              </w:rPr>
              <w:t>Dlouhodobý provoz EDU (a následně i ETE)</w:t>
            </w:r>
            <w:r w:rsidR="00851303">
              <w:rPr>
                <w:noProof/>
                <w:webHidden/>
              </w:rPr>
              <w:tab/>
            </w:r>
            <w:r w:rsidR="00851303">
              <w:rPr>
                <w:noProof/>
                <w:webHidden/>
              </w:rPr>
              <w:fldChar w:fldCharType="begin"/>
            </w:r>
            <w:r w:rsidR="00851303">
              <w:rPr>
                <w:noProof/>
                <w:webHidden/>
              </w:rPr>
              <w:instrText xml:space="preserve"> PAGEREF _Toc420056044 \h </w:instrText>
            </w:r>
            <w:r w:rsidR="00851303">
              <w:rPr>
                <w:noProof/>
                <w:webHidden/>
              </w:rPr>
            </w:r>
            <w:r w:rsidR="00851303">
              <w:rPr>
                <w:noProof/>
                <w:webHidden/>
              </w:rPr>
              <w:fldChar w:fldCharType="separate"/>
            </w:r>
            <w:r w:rsidR="00851303">
              <w:rPr>
                <w:noProof/>
                <w:webHidden/>
              </w:rPr>
              <w:t>86</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5" w:history="1">
            <w:r w:rsidR="00851303" w:rsidRPr="00B56750">
              <w:rPr>
                <w:rStyle w:val="Hypertextovodkaz"/>
                <w:rFonts w:eastAsiaTheme="majorEastAsia"/>
                <w:noProof/>
              </w:rPr>
              <w:t>8.3.1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dlouhodobého provozu stávajících JE</w:t>
            </w:r>
            <w:r w:rsidR="00851303">
              <w:rPr>
                <w:noProof/>
                <w:webHidden/>
              </w:rPr>
              <w:tab/>
            </w:r>
            <w:r w:rsidR="00851303">
              <w:rPr>
                <w:noProof/>
                <w:webHidden/>
              </w:rPr>
              <w:fldChar w:fldCharType="begin"/>
            </w:r>
            <w:r w:rsidR="00851303">
              <w:rPr>
                <w:noProof/>
                <w:webHidden/>
              </w:rPr>
              <w:instrText xml:space="preserve"> PAGEREF _Toc420056045 \h </w:instrText>
            </w:r>
            <w:r w:rsidR="00851303">
              <w:rPr>
                <w:noProof/>
                <w:webHidden/>
              </w:rPr>
            </w:r>
            <w:r w:rsidR="00851303">
              <w:rPr>
                <w:noProof/>
                <w:webHidden/>
              </w:rPr>
              <w:fldChar w:fldCharType="separate"/>
            </w:r>
            <w:r w:rsidR="00851303">
              <w:rPr>
                <w:noProof/>
                <w:webHidden/>
              </w:rPr>
              <w:t>87</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46" w:history="1">
            <w:r w:rsidR="00851303" w:rsidRPr="00B56750">
              <w:rPr>
                <w:rStyle w:val="Hypertextovodkaz"/>
                <w:noProof/>
              </w:rPr>
              <w:t>8.4</w:t>
            </w:r>
            <w:r w:rsidR="00851303">
              <w:rPr>
                <w:rFonts w:eastAsiaTheme="minorEastAsia"/>
                <w:noProof/>
                <w:lang w:eastAsia="cs-CZ"/>
              </w:rPr>
              <w:tab/>
            </w:r>
            <w:r w:rsidR="00851303" w:rsidRPr="00B56750">
              <w:rPr>
                <w:rStyle w:val="Hypertextovodkaz"/>
                <w:noProof/>
              </w:rPr>
              <w:t>Řešení konce palivového cyklu – kapacita a bezpečnost úložišť</w:t>
            </w:r>
            <w:r w:rsidR="00851303">
              <w:rPr>
                <w:noProof/>
                <w:webHidden/>
              </w:rPr>
              <w:tab/>
            </w:r>
            <w:r w:rsidR="00851303">
              <w:rPr>
                <w:noProof/>
                <w:webHidden/>
              </w:rPr>
              <w:fldChar w:fldCharType="begin"/>
            </w:r>
            <w:r w:rsidR="00851303">
              <w:rPr>
                <w:noProof/>
                <w:webHidden/>
              </w:rPr>
              <w:instrText xml:space="preserve"> PAGEREF _Toc420056046 \h </w:instrText>
            </w:r>
            <w:r w:rsidR="00851303">
              <w:rPr>
                <w:noProof/>
                <w:webHidden/>
              </w:rPr>
            </w:r>
            <w:r w:rsidR="00851303">
              <w:rPr>
                <w:noProof/>
                <w:webHidden/>
              </w:rPr>
              <w:fldChar w:fldCharType="separate"/>
            </w:r>
            <w:r w:rsidR="00851303">
              <w:rPr>
                <w:noProof/>
                <w:webHidden/>
              </w:rPr>
              <w:t>87</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7" w:history="1">
            <w:r w:rsidR="00851303" w:rsidRPr="00B56750">
              <w:rPr>
                <w:rStyle w:val="Hypertextovodkaz"/>
                <w:rFonts w:eastAsiaTheme="majorEastAsia"/>
                <w:noProof/>
              </w:rPr>
              <w:t>8.4.1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dlouhodobého provozu stávajících JE</w:t>
            </w:r>
            <w:r w:rsidR="00851303">
              <w:rPr>
                <w:noProof/>
                <w:webHidden/>
              </w:rPr>
              <w:tab/>
            </w:r>
            <w:r w:rsidR="00851303">
              <w:rPr>
                <w:noProof/>
                <w:webHidden/>
              </w:rPr>
              <w:fldChar w:fldCharType="begin"/>
            </w:r>
            <w:r w:rsidR="00851303">
              <w:rPr>
                <w:noProof/>
                <w:webHidden/>
              </w:rPr>
              <w:instrText xml:space="preserve"> PAGEREF _Toc420056047 \h </w:instrText>
            </w:r>
            <w:r w:rsidR="00851303">
              <w:rPr>
                <w:noProof/>
                <w:webHidden/>
              </w:rPr>
            </w:r>
            <w:r w:rsidR="00851303">
              <w:rPr>
                <w:noProof/>
                <w:webHidden/>
              </w:rPr>
              <w:fldChar w:fldCharType="separate"/>
            </w:r>
            <w:r w:rsidR="00851303">
              <w:rPr>
                <w:noProof/>
                <w:webHidden/>
              </w:rPr>
              <w:t>88</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48" w:history="1">
            <w:r w:rsidR="00851303" w:rsidRPr="00B56750">
              <w:rPr>
                <w:rStyle w:val="Hypertextovodkaz"/>
                <w:noProof/>
              </w:rPr>
              <w:t>8.5</w:t>
            </w:r>
            <w:r w:rsidR="00851303">
              <w:rPr>
                <w:rFonts w:eastAsiaTheme="minorEastAsia"/>
                <w:noProof/>
                <w:lang w:eastAsia="cs-CZ"/>
              </w:rPr>
              <w:tab/>
            </w:r>
            <w:r w:rsidR="00851303" w:rsidRPr="00B56750">
              <w:rPr>
                <w:rStyle w:val="Hypertextovodkaz"/>
                <w:noProof/>
              </w:rPr>
              <w:t>Příprava na odstavování JE</w:t>
            </w:r>
            <w:r w:rsidR="00851303">
              <w:rPr>
                <w:noProof/>
                <w:webHidden/>
              </w:rPr>
              <w:tab/>
            </w:r>
            <w:r w:rsidR="00851303">
              <w:rPr>
                <w:noProof/>
                <w:webHidden/>
              </w:rPr>
              <w:fldChar w:fldCharType="begin"/>
            </w:r>
            <w:r w:rsidR="00851303">
              <w:rPr>
                <w:noProof/>
                <w:webHidden/>
              </w:rPr>
              <w:instrText xml:space="preserve"> PAGEREF _Toc420056048 \h </w:instrText>
            </w:r>
            <w:r w:rsidR="00851303">
              <w:rPr>
                <w:noProof/>
                <w:webHidden/>
              </w:rPr>
            </w:r>
            <w:r w:rsidR="00851303">
              <w:rPr>
                <w:noProof/>
                <w:webHidden/>
              </w:rPr>
              <w:fldChar w:fldCharType="separate"/>
            </w:r>
            <w:r w:rsidR="00851303">
              <w:rPr>
                <w:noProof/>
                <w:webHidden/>
              </w:rPr>
              <w:t>88</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49" w:history="1">
            <w:r w:rsidR="00851303" w:rsidRPr="00B56750">
              <w:rPr>
                <w:rStyle w:val="Hypertextovodkaz"/>
                <w:rFonts w:eastAsiaTheme="majorEastAsia"/>
                <w:noProof/>
              </w:rPr>
              <w:t>8.5.1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odstavování JE</w:t>
            </w:r>
            <w:r w:rsidR="00851303">
              <w:rPr>
                <w:noProof/>
                <w:webHidden/>
              </w:rPr>
              <w:tab/>
            </w:r>
            <w:r w:rsidR="00851303">
              <w:rPr>
                <w:noProof/>
                <w:webHidden/>
              </w:rPr>
              <w:fldChar w:fldCharType="begin"/>
            </w:r>
            <w:r w:rsidR="00851303">
              <w:rPr>
                <w:noProof/>
                <w:webHidden/>
              </w:rPr>
              <w:instrText xml:space="preserve"> PAGEREF _Toc420056049 \h </w:instrText>
            </w:r>
            <w:r w:rsidR="00851303">
              <w:rPr>
                <w:noProof/>
                <w:webHidden/>
              </w:rPr>
            </w:r>
            <w:r w:rsidR="00851303">
              <w:rPr>
                <w:noProof/>
                <w:webHidden/>
              </w:rPr>
              <w:fldChar w:fldCharType="separate"/>
            </w:r>
            <w:r w:rsidR="00851303">
              <w:rPr>
                <w:noProof/>
                <w:webHidden/>
              </w:rPr>
              <w:t>89</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50" w:history="1">
            <w:r w:rsidR="00851303" w:rsidRPr="00B56750">
              <w:rPr>
                <w:rStyle w:val="Hypertextovodkaz"/>
                <w:noProof/>
              </w:rPr>
              <w:t>8.6</w:t>
            </w:r>
            <w:r w:rsidR="00851303">
              <w:rPr>
                <w:rFonts w:eastAsiaTheme="minorEastAsia"/>
                <w:noProof/>
                <w:lang w:eastAsia="cs-CZ"/>
              </w:rPr>
              <w:tab/>
            </w:r>
            <w:r w:rsidR="00851303" w:rsidRPr="00B56750">
              <w:rPr>
                <w:rStyle w:val="Hypertextovodkaz"/>
                <w:noProof/>
              </w:rPr>
              <w:t>Pokračování přípravy a výstavby NJZ</w:t>
            </w:r>
            <w:r w:rsidR="00851303">
              <w:rPr>
                <w:noProof/>
                <w:webHidden/>
              </w:rPr>
              <w:tab/>
            </w:r>
            <w:r w:rsidR="00851303">
              <w:rPr>
                <w:noProof/>
                <w:webHidden/>
              </w:rPr>
              <w:fldChar w:fldCharType="begin"/>
            </w:r>
            <w:r w:rsidR="00851303">
              <w:rPr>
                <w:noProof/>
                <w:webHidden/>
              </w:rPr>
              <w:instrText xml:space="preserve"> PAGEREF _Toc420056050 \h </w:instrText>
            </w:r>
            <w:r w:rsidR="00851303">
              <w:rPr>
                <w:noProof/>
                <w:webHidden/>
              </w:rPr>
            </w:r>
            <w:r w:rsidR="00851303">
              <w:rPr>
                <w:noProof/>
                <w:webHidden/>
              </w:rPr>
              <w:fldChar w:fldCharType="separate"/>
            </w:r>
            <w:r w:rsidR="00851303">
              <w:rPr>
                <w:noProof/>
                <w:webHidden/>
              </w:rPr>
              <w:t>89</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51" w:history="1">
            <w:r w:rsidR="00851303" w:rsidRPr="00B56750">
              <w:rPr>
                <w:rStyle w:val="Hypertextovodkaz"/>
                <w:rFonts w:eastAsiaTheme="majorEastAsia"/>
                <w:noProof/>
              </w:rPr>
              <w:t>8.6.1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výstavby NJZ</w:t>
            </w:r>
            <w:r w:rsidR="00851303">
              <w:rPr>
                <w:noProof/>
                <w:webHidden/>
              </w:rPr>
              <w:tab/>
            </w:r>
            <w:r w:rsidR="00851303">
              <w:rPr>
                <w:noProof/>
                <w:webHidden/>
              </w:rPr>
              <w:fldChar w:fldCharType="begin"/>
            </w:r>
            <w:r w:rsidR="00851303">
              <w:rPr>
                <w:noProof/>
                <w:webHidden/>
              </w:rPr>
              <w:instrText xml:space="preserve"> PAGEREF _Toc420056051 \h </w:instrText>
            </w:r>
            <w:r w:rsidR="00851303">
              <w:rPr>
                <w:noProof/>
                <w:webHidden/>
              </w:rPr>
            </w:r>
            <w:r w:rsidR="00851303">
              <w:rPr>
                <w:noProof/>
                <w:webHidden/>
              </w:rPr>
              <w:fldChar w:fldCharType="separate"/>
            </w:r>
            <w:r w:rsidR="00851303">
              <w:rPr>
                <w:noProof/>
                <w:webHidden/>
              </w:rPr>
              <w:t>89</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52" w:history="1">
            <w:r w:rsidR="00851303" w:rsidRPr="00B56750">
              <w:rPr>
                <w:rStyle w:val="Hypertextovodkaz"/>
                <w:noProof/>
              </w:rPr>
              <w:t>8.7</w:t>
            </w:r>
            <w:r w:rsidR="00851303">
              <w:rPr>
                <w:rFonts w:eastAsiaTheme="minorEastAsia"/>
                <w:noProof/>
                <w:lang w:eastAsia="cs-CZ"/>
              </w:rPr>
              <w:tab/>
            </w:r>
            <w:r w:rsidR="00851303" w:rsidRPr="00B56750">
              <w:rPr>
                <w:rStyle w:val="Hypertextovodkaz"/>
                <w:noProof/>
              </w:rPr>
              <w:t>Komunikace s občany a nevládními organizacemi</w:t>
            </w:r>
            <w:r w:rsidR="00851303">
              <w:rPr>
                <w:noProof/>
                <w:webHidden/>
              </w:rPr>
              <w:tab/>
            </w:r>
            <w:r w:rsidR="00851303">
              <w:rPr>
                <w:noProof/>
                <w:webHidden/>
              </w:rPr>
              <w:fldChar w:fldCharType="begin"/>
            </w:r>
            <w:r w:rsidR="00851303">
              <w:rPr>
                <w:noProof/>
                <w:webHidden/>
              </w:rPr>
              <w:instrText xml:space="preserve"> PAGEREF _Toc420056052 \h </w:instrText>
            </w:r>
            <w:r w:rsidR="00851303">
              <w:rPr>
                <w:noProof/>
                <w:webHidden/>
              </w:rPr>
            </w:r>
            <w:r w:rsidR="00851303">
              <w:rPr>
                <w:noProof/>
                <w:webHidden/>
              </w:rPr>
              <w:fldChar w:fldCharType="separate"/>
            </w:r>
            <w:r w:rsidR="00851303">
              <w:rPr>
                <w:noProof/>
                <w:webHidden/>
              </w:rPr>
              <w:t>90</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53" w:history="1">
            <w:r w:rsidR="00851303" w:rsidRPr="00B56750">
              <w:rPr>
                <w:rStyle w:val="Hypertextovodkaz"/>
                <w:rFonts w:eastAsiaTheme="majorEastAsia"/>
                <w:noProof/>
              </w:rPr>
              <w:t>8.7.1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komunikace s občany a nevládními organizacemi</w:t>
            </w:r>
            <w:r w:rsidR="00851303">
              <w:rPr>
                <w:noProof/>
                <w:webHidden/>
              </w:rPr>
              <w:tab/>
            </w:r>
            <w:r w:rsidR="00851303">
              <w:rPr>
                <w:noProof/>
                <w:webHidden/>
              </w:rPr>
              <w:fldChar w:fldCharType="begin"/>
            </w:r>
            <w:r w:rsidR="00851303">
              <w:rPr>
                <w:noProof/>
                <w:webHidden/>
              </w:rPr>
              <w:instrText xml:space="preserve"> PAGEREF _Toc420056053 \h </w:instrText>
            </w:r>
            <w:r w:rsidR="00851303">
              <w:rPr>
                <w:noProof/>
                <w:webHidden/>
              </w:rPr>
            </w:r>
            <w:r w:rsidR="00851303">
              <w:rPr>
                <w:noProof/>
                <w:webHidden/>
              </w:rPr>
              <w:fldChar w:fldCharType="separate"/>
            </w:r>
            <w:r w:rsidR="00851303">
              <w:rPr>
                <w:noProof/>
                <w:webHidden/>
              </w:rPr>
              <w:t>91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54" w:history="1">
            <w:r w:rsidR="00851303" w:rsidRPr="00B56750">
              <w:rPr>
                <w:rStyle w:val="Hypertextovodkaz"/>
                <w:noProof/>
              </w:rPr>
              <w:t>8.8</w:t>
            </w:r>
            <w:r w:rsidR="00851303">
              <w:rPr>
                <w:rFonts w:eastAsiaTheme="minorEastAsia"/>
                <w:noProof/>
                <w:lang w:eastAsia="cs-CZ"/>
              </w:rPr>
              <w:tab/>
            </w:r>
            <w:r w:rsidR="00851303" w:rsidRPr="00B56750">
              <w:rPr>
                <w:rStyle w:val="Hypertextovodkaz"/>
                <w:noProof/>
              </w:rPr>
              <w:t>Dlouhodobé zajištění jaderného palivového cyklu</w:t>
            </w:r>
            <w:r w:rsidR="00851303">
              <w:rPr>
                <w:noProof/>
                <w:webHidden/>
              </w:rPr>
              <w:tab/>
            </w:r>
            <w:r w:rsidR="00851303">
              <w:rPr>
                <w:noProof/>
                <w:webHidden/>
              </w:rPr>
              <w:fldChar w:fldCharType="begin"/>
            </w:r>
            <w:r w:rsidR="00851303">
              <w:rPr>
                <w:noProof/>
                <w:webHidden/>
              </w:rPr>
              <w:instrText xml:space="preserve"> PAGEREF _Toc420056054 \h </w:instrText>
            </w:r>
            <w:r w:rsidR="00851303">
              <w:rPr>
                <w:noProof/>
                <w:webHidden/>
              </w:rPr>
            </w:r>
            <w:r w:rsidR="00851303">
              <w:rPr>
                <w:noProof/>
                <w:webHidden/>
              </w:rPr>
              <w:fldChar w:fldCharType="separate"/>
            </w:r>
            <w:r w:rsidR="00851303">
              <w:rPr>
                <w:noProof/>
                <w:webHidden/>
              </w:rPr>
              <w:t>91</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55" w:history="1">
            <w:r w:rsidR="00851303" w:rsidRPr="00B56750">
              <w:rPr>
                <w:rStyle w:val="Hypertextovodkaz"/>
                <w:rFonts w:eastAsiaTheme="majorEastAsia"/>
                <w:noProof/>
              </w:rPr>
              <w:t>8.8.1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jaderného palivového cyklu</w:t>
            </w:r>
            <w:r w:rsidR="00851303">
              <w:rPr>
                <w:noProof/>
                <w:webHidden/>
              </w:rPr>
              <w:tab/>
            </w:r>
            <w:r w:rsidR="00851303">
              <w:rPr>
                <w:noProof/>
                <w:webHidden/>
              </w:rPr>
              <w:fldChar w:fldCharType="begin"/>
            </w:r>
            <w:r w:rsidR="00851303">
              <w:rPr>
                <w:noProof/>
                <w:webHidden/>
              </w:rPr>
              <w:instrText xml:space="preserve"> PAGEREF _Toc420056055 \h </w:instrText>
            </w:r>
            <w:r w:rsidR="00851303">
              <w:rPr>
                <w:noProof/>
                <w:webHidden/>
              </w:rPr>
            </w:r>
            <w:r w:rsidR="00851303">
              <w:rPr>
                <w:noProof/>
                <w:webHidden/>
              </w:rPr>
              <w:fldChar w:fldCharType="separate"/>
            </w:r>
            <w:r w:rsidR="00851303">
              <w:rPr>
                <w:noProof/>
                <w:webHidden/>
              </w:rPr>
              <w:t>91</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56" w:history="1">
            <w:r w:rsidR="00851303" w:rsidRPr="00B56750">
              <w:rPr>
                <w:rStyle w:val="Hypertextovodkaz"/>
                <w:noProof/>
              </w:rPr>
              <w:t>8.9</w:t>
            </w:r>
            <w:r w:rsidR="00851303">
              <w:rPr>
                <w:rFonts w:eastAsiaTheme="minorEastAsia"/>
                <w:noProof/>
                <w:lang w:eastAsia="cs-CZ"/>
              </w:rPr>
              <w:tab/>
            </w:r>
            <w:r w:rsidR="00851303" w:rsidRPr="00B56750">
              <w:rPr>
                <w:rStyle w:val="Hypertextovodkaz"/>
                <w:noProof/>
              </w:rPr>
              <w:t>Zajištění dlouhodobé bezpečnosti dodávek paliva (zásoby, kontrakty, fabrikační kapacity)</w:t>
            </w:r>
            <w:r w:rsidR="00851303">
              <w:rPr>
                <w:noProof/>
                <w:webHidden/>
              </w:rPr>
              <w:tab/>
            </w:r>
            <w:r w:rsidR="00851303">
              <w:rPr>
                <w:noProof/>
                <w:webHidden/>
              </w:rPr>
              <w:fldChar w:fldCharType="begin"/>
            </w:r>
            <w:r w:rsidR="00851303">
              <w:rPr>
                <w:noProof/>
                <w:webHidden/>
              </w:rPr>
              <w:instrText xml:space="preserve"> PAGEREF _Toc420056056 \h </w:instrText>
            </w:r>
            <w:r w:rsidR="00851303">
              <w:rPr>
                <w:noProof/>
                <w:webHidden/>
              </w:rPr>
            </w:r>
            <w:r w:rsidR="00851303">
              <w:rPr>
                <w:noProof/>
                <w:webHidden/>
              </w:rPr>
              <w:fldChar w:fldCharType="separate"/>
            </w:r>
            <w:r w:rsidR="00851303">
              <w:rPr>
                <w:noProof/>
                <w:webHidden/>
              </w:rPr>
              <w:t>92</w:t>
            </w:r>
            <w:r w:rsidR="00851303">
              <w:rPr>
                <w:noProof/>
                <w:webHidden/>
              </w:rPr>
              <w:fldChar w:fldCharType="end"/>
            </w:r>
          </w:hyperlink>
        </w:p>
        <w:p w:rsidR="00851303" w:rsidRDefault="005D04F6" w:rsidP="00851303">
          <w:pPr>
            <w:pStyle w:val="Obsah3"/>
            <w:tabs>
              <w:tab w:val="left" w:pos="1100"/>
              <w:tab w:val="right" w:leader="dot" w:pos="9062"/>
            </w:tabs>
            <w:spacing w:before="0" w:after="0"/>
            <w:rPr>
              <w:rFonts w:asciiTheme="minorHAnsi" w:eastAsiaTheme="minorEastAsia" w:hAnsiTheme="minorHAnsi" w:cstheme="minorBidi"/>
              <w:noProof/>
              <w:color w:val="auto"/>
            </w:rPr>
          </w:pPr>
          <w:hyperlink w:anchor="_Toc420056057" w:history="1">
            <w:r w:rsidR="00851303" w:rsidRPr="00B56750">
              <w:rPr>
                <w:rStyle w:val="Hypertextovodkaz"/>
                <w:rFonts w:eastAsiaTheme="majorEastAsia"/>
                <w:noProof/>
              </w:rPr>
              <w:t>8.9.1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dlouhodobé bezpečnosti dodávek paliva</w:t>
            </w:r>
            <w:r w:rsidR="00851303">
              <w:rPr>
                <w:noProof/>
                <w:webHidden/>
              </w:rPr>
              <w:tab/>
            </w:r>
            <w:r w:rsidR="00851303">
              <w:rPr>
                <w:noProof/>
                <w:webHidden/>
              </w:rPr>
              <w:fldChar w:fldCharType="begin"/>
            </w:r>
            <w:r w:rsidR="00851303">
              <w:rPr>
                <w:noProof/>
                <w:webHidden/>
              </w:rPr>
              <w:instrText xml:space="preserve"> PAGEREF _Toc420056057 \h </w:instrText>
            </w:r>
            <w:r w:rsidR="00851303">
              <w:rPr>
                <w:noProof/>
                <w:webHidden/>
              </w:rPr>
            </w:r>
            <w:r w:rsidR="00851303">
              <w:rPr>
                <w:noProof/>
                <w:webHidden/>
              </w:rPr>
              <w:fldChar w:fldCharType="separate"/>
            </w:r>
            <w:r w:rsidR="00851303">
              <w:rPr>
                <w:noProof/>
                <w:webHidden/>
              </w:rPr>
              <w:t>92</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58" w:history="1">
            <w:r w:rsidR="00851303" w:rsidRPr="00B56750">
              <w:rPr>
                <w:rStyle w:val="Hypertextovodkaz"/>
                <w:noProof/>
              </w:rPr>
              <w:t>8.10</w:t>
            </w:r>
            <w:r w:rsidR="00851303">
              <w:rPr>
                <w:rFonts w:eastAsiaTheme="minorEastAsia"/>
                <w:noProof/>
                <w:lang w:eastAsia="cs-CZ"/>
              </w:rPr>
              <w:tab/>
            </w:r>
            <w:r w:rsidR="00851303" w:rsidRPr="00B56750">
              <w:rPr>
                <w:rStyle w:val="Hypertextovodkaz"/>
                <w:noProof/>
              </w:rPr>
              <w:t>Obnova a rozvoj lidských zdrojů</w:t>
            </w:r>
            <w:r w:rsidR="00851303">
              <w:rPr>
                <w:noProof/>
                <w:webHidden/>
              </w:rPr>
              <w:tab/>
            </w:r>
            <w:r w:rsidR="00851303">
              <w:rPr>
                <w:noProof/>
                <w:webHidden/>
              </w:rPr>
              <w:fldChar w:fldCharType="begin"/>
            </w:r>
            <w:r w:rsidR="00851303">
              <w:rPr>
                <w:noProof/>
                <w:webHidden/>
              </w:rPr>
              <w:instrText xml:space="preserve"> PAGEREF _Toc420056058 \h </w:instrText>
            </w:r>
            <w:r w:rsidR="00851303">
              <w:rPr>
                <w:noProof/>
                <w:webHidden/>
              </w:rPr>
            </w:r>
            <w:r w:rsidR="00851303">
              <w:rPr>
                <w:noProof/>
                <w:webHidden/>
              </w:rPr>
              <w:fldChar w:fldCharType="separate"/>
            </w:r>
            <w:r w:rsidR="00851303">
              <w:rPr>
                <w:noProof/>
                <w:webHidden/>
              </w:rPr>
              <w:t>92</w:t>
            </w:r>
            <w:r w:rsidR="00851303">
              <w:rPr>
                <w:noProof/>
                <w:webHidden/>
              </w:rPr>
              <w:fldChar w:fldCharType="end"/>
            </w:r>
          </w:hyperlink>
        </w:p>
        <w:p w:rsidR="00851303" w:rsidRDefault="005D04F6" w:rsidP="00851303">
          <w:pPr>
            <w:pStyle w:val="Obsah3"/>
            <w:tabs>
              <w:tab w:val="left" w:pos="1320"/>
              <w:tab w:val="right" w:leader="dot" w:pos="9062"/>
            </w:tabs>
            <w:spacing w:before="0" w:after="0"/>
            <w:rPr>
              <w:rFonts w:asciiTheme="minorHAnsi" w:eastAsiaTheme="minorEastAsia" w:hAnsiTheme="minorHAnsi" w:cstheme="minorBidi"/>
              <w:noProof/>
              <w:color w:val="auto"/>
            </w:rPr>
          </w:pPr>
          <w:hyperlink w:anchor="_Toc420056059" w:history="1">
            <w:r w:rsidR="00851303" w:rsidRPr="00B56750">
              <w:rPr>
                <w:rStyle w:val="Hypertextovodkaz"/>
                <w:rFonts w:eastAsiaTheme="majorEastAsia"/>
                <w:noProof/>
              </w:rPr>
              <w:t>8.10.1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obnovy a rozvoje lidských zdrojů</w:t>
            </w:r>
            <w:r w:rsidR="00851303">
              <w:rPr>
                <w:noProof/>
                <w:webHidden/>
              </w:rPr>
              <w:tab/>
            </w:r>
            <w:r w:rsidR="00851303">
              <w:rPr>
                <w:noProof/>
                <w:webHidden/>
              </w:rPr>
              <w:fldChar w:fldCharType="begin"/>
            </w:r>
            <w:r w:rsidR="00851303">
              <w:rPr>
                <w:noProof/>
                <w:webHidden/>
              </w:rPr>
              <w:instrText xml:space="preserve"> PAGEREF _Toc420056059 \h </w:instrText>
            </w:r>
            <w:r w:rsidR="00851303">
              <w:rPr>
                <w:noProof/>
                <w:webHidden/>
              </w:rPr>
            </w:r>
            <w:r w:rsidR="00851303">
              <w:rPr>
                <w:noProof/>
                <w:webHidden/>
              </w:rPr>
              <w:fldChar w:fldCharType="separate"/>
            </w:r>
            <w:r w:rsidR="00851303">
              <w:rPr>
                <w:noProof/>
                <w:webHidden/>
              </w:rPr>
              <w:t>94</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60" w:history="1">
            <w:r w:rsidR="00851303" w:rsidRPr="00B56750">
              <w:rPr>
                <w:rStyle w:val="Hypertextovodkaz"/>
                <w:noProof/>
              </w:rPr>
              <w:t>8.11</w:t>
            </w:r>
            <w:r w:rsidR="00851303">
              <w:rPr>
                <w:rFonts w:eastAsiaTheme="minorEastAsia"/>
                <w:noProof/>
                <w:lang w:eastAsia="cs-CZ"/>
              </w:rPr>
              <w:tab/>
            </w:r>
            <w:r w:rsidR="00851303" w:rsidRPr="00B56750">
              <w:rPr>
                <w:rStyle w:val="Hypertextovodkaz"/>
                <w:noProof/>
              </w:rPr>
              <w:t>Podpora českého jaderného průmyslu</w:t>
            </w:r>
            <w:r w:rsidR="00851303">
              <w:rPr>
                <w:noProof/>
                <w:webHidden/>
              </w:rPr>
              <w:tab/>
            </w:r>
            <w:r w:rsidR="00851303">
              <w:rPr>
                <w:noProof/>
                <w:webHidden/>
              </w:rPr>
              <w:fldChar w:fldCharType="begin"/>
            </w:r>
            <w:r w:rsidR="00851303">
              <w:rPr>
                <w:noProof/>
                <w:webHidden/>
              </w:rPr>
              <w:instrText xml:space="preserve"> PAGEREF _Toc420056060 \h </w:instrText>
            </w:r>
            <w:r w:rsidR="00851303">
              <w:rPr>
                <w:noProof/>
                <w:webHidden/>
              </w:rPr>
            </w:r>
            <w:r w:rsidR="00851303">
              <w:rPr>
                <w:noProof/>
                <w:webHidden/>
              </w:rPr>
              <w:fldChar w:fldCharType="separate"/>
            </w:r>
            <w:r w:rsidR="00851303">
              <w:rPr>
                <w:noProof/>
                <w:webHidden/>
              </w:rPr>
              <w:t>94</w:t>
            </w:r>
            <w:r w:rsidR="00851303">
              <w:rPr>
                <w:noProof/>
                <w:webHidden/>
              </w:rPr>
              <w:fldChar w:fldCharType="end"/>
            </w:r>
          </w:hyperlink>
        </w:p>
        <w:p w:rsidR="00851303" w:rsidRDefault="005D04F6" w:rsidP="00851303">
          <w:pPr>
            <w:pStyle w:val="Obsah3"/>
            <w:tabs>
              <w:tab w:val="left" w:pos="1320"/>
              <w:tab w:val="right" w:leader="dot" w:pos="9062"/>
            </w:tabs>
            <w:spacing w:before="0" w:after="0"/>
            <w:rPr>
              <w:rFonts w:asciiTheme="minorHAnsi" w:eastAsiaTheme="minorEastAsia" w:hAnsiTheme="minorHAnsi" w:cstheme="minorBidi"/>
              <w:noProof/>
              <w:color w:val="auto"/>
            </w:rPr>
          </w:pPr>
          <w:hyperlink w:anchor="_Toc420056061" w:history="1">
            <w:r w:rsidR="00851303" w:rsidRPr="00B56750">
              <w:rPr>
                <w:rStyle w:val="Hypertextovodkaz"/>
                <w:rFonts w:eastAsiaTheme="majorEastAsia"/>
                <w:noProof/>
              </w:rPr>
              <w:t>8.11.1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podporu českého jaderného průmyslu</w:t>
            </w:r>
            <w:r w:rsidR="00851303">
              <w:rPr>
                <w:noProof/>
                <w:webHidden/>
              </w:rPr>
              <w:tab/>
            </w:r>
            <w:r w:rsidR="00851303">
              <w:rPr>
                <w:noProof/>
                <w:webHidden/>
              </w:rPr>
              <w:fldChar w:fldCharType="begin"/>
            </w:r>
            <w:r w:rsidR="00851303">
              <w:rPr>
                <w:noProof/>
                <w:webHidden/>
              </w:rPr>
              <w:instrText xml:space="preserve"> PAGEREF _Toc420056061 \h </w:instrText>
            </w:r>
            <w:r w:rsidR="00851303">
              <w:rPr>
                <w:noProof/>
                <w:webHidden/>
              </w:rPr>
            </w:r>
            <w:r w:rsidR="00851303">
              <w:rPr>
                <w:noProof/>
                <w:webHidden/>
              </w:rPr>
              <w:fldChar w:fldCharType="separate"/>
            </w:r>
            <w:r w:rsidR="00851303">
              <w:rPr>
                <w:noProof/>
                <w:webHidden/>
              </w:rPr>
              <w:t>94</w:t>
            </w:r>
            <w:r w:rsidR="00851303">
              <w:rPr>
                <w:noProof/>
                <w:webHidden/>
              </w:rPr>
              <w:fldChar w:fldCharType="end"/>
            </w:r>
          </w:hyperlink>
        </w:p>
        <w:p w:rsidR="00851303" w:rsidRDefault="005D04F6" w:rsidP="00851303">
          <w:pPr>
            <w:pStyle w:val="Obsah2"/>
            <w:tabs>
              <w:tab w:val="left" w:pos="880"/>
              <w:tab w:val="right" w:leader="dot" w:pos="9062"/>
            </w:tabs>
            <w:spacing w:after="0"/>
            <w:rPr>
              <w:rFonts w:eastAsiaTheme="minorEastAsia"/>
              <w:noProof/>
              <w:lang w:eastAsia="cs-CZ"/>
            </w:rPr>
          </w:pPr>
          <w:hyperlink w:anchor="_Toc420056062" w:history="1">
            <w:r w:rsidR="00851303" w:rsidRPr="00B56750">
              <w:rPr>
                <w:rStyle w:val="Hypertextovodkaz"/>
                <w:noProof/>
              </w:rPr>
              <w:t>8.12</w:t>
            </w:r>
            <w:r w:rsidR="00851303">
              <w:rPr>
                <w:rFonts w:eastAsiaTheme="minorEastAsia"/>
                <w:noProof/>
                <w:lang w:eastAsia="cs-CZ"/>
              </w:rPr>
              <w:tab/>
            </w:r>
            <w:r w:rsidR="00851303" w:rsidRPr="00B56750">
              <w:rPr>
                <w:rStyle w:val="Hypertextovodkaz"/>
                <w:noProof/>
              </w:rPr>
              <w:t>Výzkum a vývoj v oblasti jaderné energetiky</w:t>
            </w:r>
            <w:r w:rsidR="00851303">
              <w:rPr>
                <w:noProof/>
                <w:webHidden/>
              </w:rPr>
              <w:tab/>
            </w:r>
            <w:r w:rsidR="00851303">
              <w:rPr>
                <w:noProof/>
                <w:webHidden/>
              </w:rPr>
              <w:fldChar w:fldCharType="begin"/>
            </w:r>
            <w:r w:rsidR="00851303">
              <w:rPr>
                <w:noProof/>
                <w:webHidden/>
              </w:rPr>
              <w:instrText xml:space="preserve"> PAGEREF _Toc420056062 \h </w:instrText>
            </w:r>
            <w:r w:rsidR="00851303">
              <w:rPr>
                <w:noProof/>
                <w:webHidden/>
              </w:rPr>
            </w:r>
            <w:r w:rsidR="00851303">
              <w:rPr>
                <w:noProof/>
                <w:webHidden/>
              </w:rPr>
              <w:fldChar w:fldCharType="separate"/>
            </w:r>
            <w:r w:rsidR="00851303">
              <w:rPr>
                <w:noProof/>
                <w:webHidden/>
              </w:rPr>
              <w:t>95</w:t>
            </w:r>
            <w:r w:rsidR="00851303">
              <w:rPr>
                <w:noProof/>
                <w:webHidden/>
              </w:rPr>
              <w:fldChar w:fldCharType="end"/>
            </w:r>
          </w:hyperlink>
        </w:p>
        <w:p w:rsidR="00851303" w:rsidRDefault="005D04F6" w:rsidP="00851303">
          <w:pPr>
            <w:pStyle w:val="Obsah3"/>
            <w:tabs>
              <w:tab w:val="left" w:pos="1320"/>
              <w:tab w:val="right" w:leader="dot" w:pos="9062"/>
            </w:tabs>
            <w:spacing w:before="0" w:after="0"/>
            <w:rPr>
              <w:rFonts w:asciiTheme="minorHAnsi" w:eastAsiaTheme="minorEastAsia" w:hAnsiTheme="minorHAnsi" w:cstheme="minorBidi"/>
              <w:noProof/>
              <w:color w:val="auto"/>
            </w:rPr>
          </w:pPr>
          <w:hyperlink w:anchor="_Toc420056063" w:history="1">
            <w:r w:rsidR="00851303" w:rsidRPr="00B56750">
              <w:rPr>
                <w:rStyle w:val="Hypertextovodkaz"/>
                <w:rFonts w:eastAsiaTheme="majorEastAsia"/>
                <w:noProof/>
              </w:rPr>
              <w:t>8.12.1</w:t>
            </w:r>
            <w:r w:rsidR="00851303">
              <w:rPr>
                <w:rFonts w:asciiTheme="minorHAnsi" w:eastAsiaTheme="minorEastAsia" w:hAnsiTheme="minorHAnsi" w:cstheme="minorBidi"/>
                <w:noProof/>
                <w:color w:val="auto"/>
              </w:rPr>
              <w:tab/>
            </w:r>
            <w:r w:rsidR="00851303" w:rsidRPr="00B56750">
              <w:rPr>
                <w:rStyle w:val="Hypertextovodkaz"/>
                <w:rFonts w:eastAsiaTheme="majorEastAsia"/>
                <w:noProof/>
              </w:rPr>
              <w:t>Opatření pro oblast vědy a výzkumu</w:t>
            </w:r>
            <w:r w:rsidR="00851303">
              <w:rPr>
                <w:noProof/>
                <w:webHidden/>
              </w:rPr>
              <w:tab/>
            </w:r>
            <w:r w:rsidR="00851303">
              <w:rPr>
                <w:noProof/>
                <w:webHidden/>
              </w:rPr>
              <w:fldChar w:fldCharType="begin"/>
            </w:r>
            <w:r w:rsidR="00851303">
              <w:rPr>
                <w:noProof/>
                <w:webHidden/>
              </w:rPr>
              <w:instrText xml:space="preserve"> PAGEREF _Toc420056063 \h </w:instrText>
            </w:r>
            <w:r w:rsidR="00851303">
              <w:rPr>
                <w:noProof/>
                <w:webHidden/>
              </w:rPr>
            </w:r>
            <w:r w:rsidR="00851303">
              <w:rPr>
                <w:noProof/>
                <w:webHidden/>
              </w:rPr>
              <w:fldChar w:fldCharType="separate"/>
            </w:r>
            <w:r w:rsidR="00851303">
              <w:rPr>
                <w:noProof/>
                <w:webHidden/>
              </w:rPr>
              <w:t>96</w:t>
            </w:r>
            <w:r w:rsidR="00851303">
              <w:rPr>
                <w:noProof/>
                <w:webHidden/>
              </w:rPr>
              <w:fldChar w:fldCharType="end"/>
            </w:r>
          </w:hyperlink>
        </w:p>
        <w:p w:rsidR="00851303" w:rsidRDefault="005D04F6" w:rsidP="00851303">
          <w:pPr>
            <w:pStyle w:val="Obsah1"/>
            <w:tabs>
              <w:tab w:val="left" w:pos="400"/>
              <w:tab w:val="right" w:leader="dot" w:pos="9062"/>
            </w:tabs>
            <w:spacing w:after="0"/>
            <w:rPr>
              <w:rFonts w:eastAsiaTheme="minorEastAsia"/>
              <w:noProof/>
              <w:lang w:eastAsia="cs-CZ"/>
            </w:rPr>
          </w:pPr>
          <w:hyperlink w:anchor="_Toc420056064" w:history="1">
            <w:r w:rsidR="00851303" w:rsidRPr="00B56750">
              <w:rPr>
                <w:rStyle w:val="Hypertextovodkaz"/>
                <w:noProof/>
              </w:rPr>
              <w:t>9</w:t>
            </w:r>
            <w:r w:rsidR="00851303">
              <w:rPr>
                <w:rFonts w:eastAsiaTheme="minorEastAsia"/>
                <w:noProof/>
                <w:lang w:eastAsia="cs-CZ"/>
              </w:rPr>
              <w:tab/>
            </w:r>
            <w:r w:rsidR="00851303" w:rsidRPr="00B56750">
              <w:rPr>
                <w:rStyle w:val="Hypertextovodkaz"/>
                <w:noProof/>
              </w:rPr>
              <w:t>Klíčové úkoly pro nejbližší období (pro rok 2015)</w:t>
            </w:r>
            <w:r w:rsidR="00851303">
              <w:rPr>
                <w:noProof/>
                <w:webHidden/>
              </w:rPr>
              <w:tab/>
            </w:r>
            <w:r w:rsidR="00851303">
              <w:rPr>
                <w:noProof/>
                <w:webHidden/>
              </w:rPr>
              <w:fldChar w:fldCharType="begin"/>
            </w:r>
            <w:r w:rsidR="00851303">
              <w:rPr>
                <w:noProof/>
                <w:webHidden/>
              </w:rPr>
              <w:instrText xml:space="preserve"> PAGEREF _Toc420056064 \h </w:instrText>
            </w:r>
            <w:r w:rsidR="00851303">
              <w:rPr>
                <w:noProof/>
                <w:webHidden/>
              </w:rPr>
            </w:r>
            <w:r w:rsidR="00851303">
              <w:rPr>
                <w:noProof/>
                <w:webHidden/>
              </w:rPr>
              <w:fldChar w:fldCharType="separate"/>
            </w:r>
            <w:r w:rsidR="00851303">
              <w:rPr>
                <w:noProof/>
                <w:webHidden/>
              </w:rPr>
              <w:t>97</w:t>
            </w:r>
            <w:r w:rsidR="00851303">
              <w:rPr>
                <w:noProof/>
                <w:webHidden/>
              </w:rPr>
              <w:fldChar w:fldCharType="end"/>
            </w:r>
          </w:hyperlink>
        </w:p>
        <w:p w:rsidR="00851303" w:rsidRDefault="005D04F6" w:rsidP="00851303">
          <w:pPr>
            <w:pStyle w:val="Obsah1"/>
            <w:tabs>
              <w:tab w:val="right" w:leader="dot" w:pos="9062"/>
            </w:tabs>
            <w:spacing w:after="0"/>
            <w:rPr>
              <w:rFonts w:eastAsiaTheme="minorEastAsia"/>
              <w:noProof/>
              <w:lang w:eastAsia="cs-CZ"/>
            </w:rPr>
          </w:pPr>
          <w:hyperlink w:anchor="_Toc420056065" w:history="1">
            <w:r w:rsidR="00851303" w:rsidRPr="00B56750">
              <w:rPr>
                <w:rStyle w:val="Hypertextovodkaz"/>
                <w:noProof/>
              </w:rPr>
              <w:t>Příloha č. 1: Zkušenosti z připravovaných projektů JE ve vybraných zemích</w:t>
            </w:r>
            <w:r w:rsidR="00851303">
              <w:rPr>
                <w:noProof/>
                <w:webHidden/>
              </w:rPr>
              <w:tab/>
            </w:r>
            <w:r w:rsidR="00851303">
              <w:rPr>
                <w:noProof/>
                <w:webHidden/>
              </w:rPr>
              <w:fldChar w:fldCharType="begin"/>
            </w:r>
            <w:r w:rsidR="00851303">
              <w:rPr>
                <w:noProof/>
                <w:webHidden/>
              </w:rPr>
              <w:instrText xml:space="preserve"> PAGEREF _Toc420056065 \h </w:instrText>
            </w:r>
            <w:r w:rsidR="00851303">
              <w:rPr>
                <w:noProof/>
                <w:webHidden/>
              </w:rPr>
            </w:r>
            <w:r w:rsidR="00851303">
              <w:rPr>
                <w:noProof/>
                <w:webHidden/>
              </w:rPr>
              <w:fldChar w:fldCharType="separate"/>
            </w:r>
            <w:r w:rsidR="00851303">
              <w:rPr>
                <w:noProof/>
                <w:webHidden/>
              </w:rPr>
              <w:t>102</w:t>
            </w:r>
            <w:r w:rsidR="00851303">
              <w:rPr>
                <w:noProof/>
                <w:webHidden/>
              </w:rPr>
              <w:fldChar w:fldCharType="end"/>
            </w:r>
          </w:hyperlink>
        </w:p>
        <w:p w:rsidR="00851303" w:rsidRDefault="005D04F6" w:rsidP="00851303">
          <w:pPr>
            <w:pStyle w:val="Obsah1"/>
            <w:tabs>
              <w:tab w:val="right" w:leader="dot" w:pos="9062"/>
            </w:tabs>
            <w:spacing w:after="0"/>
            <w:rPr>
              <w:rFonts w:eastAsiaTheme="minorEastAsia"/>
              <w:noProof/>
              <w:lang w:eastAsia="cs-CZ"/>
            </w:rPr>
          </w:pPr>
          <w:hyperlink w:anchor="_Toc420056066" w:history="1">
            <w:r w:rsidR="00851303" w:rsidRPr="00B56750">
              <w:rPr>
                <w:rStyle w:val="Hypertextovodkaz"/>
                <w:noProof/>
              </w:rPr>
              <w:t>Příloha č. 2: Analytická východiska dokumentu</w:t>
            </w:r>
            <w:r w:rsidR="00851303">
              <w:rPr>
                <w:noProof/>
                <w:webHidden/>
              </w:rPr>
              <w:tab/>
            </w:r>
            <w:r w:rsidR="00851303">
              <w:rPr>
                <w:noProof/>
                <w:webHidden/>
              </w:rPr>
              <w:fldChar w:fldCharType="begin"/>
            </w:r>
            <w:r w:rsidR="00851303">
              <w:rPr>
                <w:noProof/>
                <w:webHidden/>
              </w:rPr>
              <w:instrText xml:space="preserve"> PAGEREF _Toc420056066 \h </w:instrText>
            </w:r>
            <w:r w:rsidR="00851303">
              <w:rPr>
                <w:noProof/>
                <w:webHidden/>
              </w:rPr>
            </w:r>
            <w:r w:rsidR="00851303">
              <w:rPr>
                <w:noProof/>
                <w:webHidden/>
              </w:rPr>
              <w:fldChar w:fldCharType="separate"/>
            </w:r>
            <w:r w:rsidR="00851303">
              <w:rPr>
                <w:noProof/>
                <w:webHidden/>
              </w:rPr>
              <w:t>112</w:t>
            </w:r>
            <w:r w:rsidR="00851303">
              <w:rPr>
                <w:noProof/>
                <w:webHidden/>
              </w:rPr>
              <w:fldChar w:fldCharType="end"/>
            </w:r>
          </w:hyperlink>
        </w:p>
        <w:p w:rsidR="0081296A" w:rsidRDefault="001F7B0E" w:rsidP="00851303">
          <w:pPr>
            <w:spacing w:after="0"/>
          </w:pPr>
          <w:r>
            <w:rPr>
              <w:b/>
              <w:bCs/>
            </w:rPr>
            <w:fldChar w:fldCharType="end"/>
          </w:r>
        </w:p>
      </w:sdtContent>
    </w:sdt>
    <w:p w:rsidR="0081296A" w:rsidRDefault="0081296A">
      <w:pPr>
        <w:rPr>
          <w:rFonts w:asciiTheme="majorHAnsi" w:eastAsiaTheme="majorEastAsia" w:hAnsiTheme="majorHAnsi" w:cstheme="majorBidi"/>
          <w:b/>
          <w:bCs/>
          <w:sz w:val="28"/>
          <w:szCs w:val="28"/>
        </w:rPr>
        <w:sectPr w:rsidR="0081296A" w:rsidSect="00F00B6E">
          <w:footerReference w:type="default" r:id="rId11"/>
          <w:pgSz w:w="11906" w:h="16838"/>
          <w:pgMar w:top="1417" w:right="1417" w:bottom="1417" w:left="1417" w:header="708" w:footer="708" w:gutter="0"/>
          <w:cols w:space="708"/>
          <w:docGrid w:linePitch="360"/>
        </w:sectPr>
      </w:pPr>
    </w:p>
    <w:p w:rsidR="0053132F" w:rsidRDefault="0053132F" w:rsidP="00455353">
      <w:pPr>
        <w:pStyle w:val="Nadpis1"/>
        <w:numPr>
          <w:ilvl w:val="0"/>
          <w:numId w:val="0"/>
        </w:numPr>
        <w:ind w:left="432" w:hanging="432"/>
      </w:pPr>
      <w:bookmarkStart w:id="0" w:name="_Toc407035537"/>
      <w:bookmarkStart w:id="1" w:name="_Toc420055981"/>
      <w:r>
        <w:lastRenderedPageBreak/>
        <w:t>Manažerské shrnutí</w:t>
      </w:r>
      <w:bookmarkEnd w:id="0"/>
      <w:bookmarkEnd w:id="1"/>
    </w:p>
    <w:p w:rsidR="00726918" w:rsidRPr="008159B4" w:rsidRDefault="00726918" w:rsidP="00726918">
      <w:pPr>
        <w:jc w:val="both"/>
      </w:pPr>
      <w:r w:rsidRPr="008159B4">
        <w:t xml:space="preserve">Dokument </w:t>
      </w:r>
      <w:r w:rsidR="00C62F48" w:rsidRPr="008159B4">
        <w:t>Národní akční plán rozvoje jaderné energetiky v ČR (</w:t>
      </w:r>
      <w:r w:rsidRPr="008159B4">
        <w:t>NAP JE</w:t>
      </w:r>
      <w:r w:rsidR="00C62F48" w:rsidRPr="008159B4">
        <w:t>)</w:t>
      </w:r>
      <w:r w:rsidRPr="008159B4">
        <w:t xml:space="preserve"> navazuje </w:t>
      </w:r>
      <w:r w:rsidR="00682482">
        <w:t xml:space="preserve">na </w:t>
      </w:r>
      <w:r w:rsidR="003A1FE3">
        <w:t xml:space="preserve">aktualizovanou </w:t>
      </w:r>
      <w:r w:rsidR="003A1FE3" w:rsidRPr="008159B4">
        <w:t>Státní</w:t>
      </w:r>
      <w:r w:rsidRPr="008159B4">
        <w:t xml:space="preserve"> </w:t>
      </w:r>
      <w:r w:rsidR="003A1FE3" w:rsidRPr="008159B4">
        <w:t>energetick</w:t>
      </w:r>
      <w:r w:rsidR="003A1FE3">
        <w:t>ou</w:t>
      </w:r>
      <w:r w:rsidR="003A1FE3" w:rsidRPr="008159B4">
        <w:t xml:space="preserve"> </w:t>
      </w:r>
      <w:r w:rsidRPr="008159B4">
        <w:t xml:space="preserve">koncepci </w:t>
      </w:r>
      <w:r w:rsidR="00C62F48" w:rsidRPr="008159B4">
        <w:t>(SEK)</w:t>
      </w:r>
      <w:r w:rsidR="003A1FE3">
        <w:rPr>
          <w:rStyle w:val="Znakapoznpodarou"/>
        </w:rPr>
        <w:footnoteReference w:id="1"/>
      </w:r>
      <w:r w:rsidR="00C62F48" w:rsidRPr="008159B4">
        <w:t xml:space="preserve"> </w:t>
      </w:r>
      <w:r w:rsidRPr="008159B4">
        <w:t>a v mezích jejího strategického zadání (se</w:t>
      </w:r>
      <w:r w:rsidR="00092498">
        <w:t xml:space="preserve"> závěrečným</w:t>
      </w:r>
      <w:r w:rsidRPr="008159B4">
        <w:t xml:space="preserve"> stanoviskem z procesu posuzování vlivů na životní prostředí –</w:t>
      </w:r>
      <w:r w:rsidR="0055254E">
        <w:t xml:space="preserve"> </w:t>
      </w:r>
      <w:r w:rsidRPr="008159B4">
        <w:t>SEA)</w:t>
      </w:r>
      <w:r w:rsidR="003A1FE3">
        <w:t xml:space="preserve"> </w:t>
      </w:r>
      <w:r w:rsidR="00EE6762">
        <w:t>transformuje</w:t>
      </w:r>
      <w:r w:rsidR="004916BA">
        <w:t xml:space="preserve"> </w:t>
      </w:r>
      <w:r w:rsidR="003A1FE3">
        <w:t xml:space="preserve">dílčí cíle tohoto dokumentu </w:t>
      </w:r>
      <w:r w:rsidRPr="008159B4">
        <w:t>do konkrétních realizačních kroků. Realizační kroky a role státu jsou popsány v oblastech, jakými jsou regulace v oblasti jaderné bezpečnosti; zajištění dlouhodobě udržitelné infrastruktury potřebné pro výstavbu</w:t>
      </w:r>
      <w:r w:rsidR="00EE6762">
        <w:rPr>
          <w:lang w:val="en-US"/>
        </w:rPr>
        <w:t>;</w:t>
      </w:r>
      <w:r w:rsidRPr="008159B4">
        <w:t xml:space="preserve"> dlouhodobý bezpečný provoz </w:t>
      </w:r>
      <w:r w:rsidR="003409D4" w:rsidRPr="008159B4">
        <w:t xml:space="preserve">jaderných zařízení </w:t>
      </w:r>
      <w:r w:rsidRPr="008159B4">
        <w:t xml:space="preserve">a </w:t>
      </w:r>
      <w:r w:rsidR="003409D4">
        <w:t xml:space="preserve">jejich </w:t>
      </w:r>
      <w:r w:rsidRPr="008159B4">
        <w:t>vyřazování z provozu; ukládání jaderného odpadu všech kategorií, a to jak z jaderné energetiky tak i jaderného výzkumu, medicíny a průmyslu; výzkum v oblasti jaderné energetiky nebo školství a vzdělávání.</w:t>
      </w:r>
    </w:p>
    <w:p w:rsidR="00726918" w:rsidRPr="008159B4" w:rsidRDefault="00726918" w:rsidP="00726918">
      <w:pPr>
        <w:jc w:val="both"/>
      </w:pPr>
      <w:r w:rsidRPr="008159B4">
        <w:t xml:space="preserve">Dokument vychází z poznání, že stát </w:t>
      </w:r>
      <w:r w:rsidR="0047075F" w:rsidRPr="008159B4">
        <w:t xml:space="preserve">má </w:t>
      </w:r>
      <w:r w:rsidR="00C62F48" w:rsidRPr="008159B4">
        <w:t xml:space="preserve">v energetice </w:t>
      </w:r>
      <w:r w:rsidRPr="008159B4">
        <w:t>zcela zásadní roli. Nejdůležitější rolí státu je stanovit jasnou dlouhodobou politiku v oblasti hospodářství, energetiky a životního prostředí s odpovídající základnou v oblasti legislativy a institucionálního rámce.</w:t>
      </w:r>
    </w:p>
    <w:p w:rsidR="00726918" w:rsidRPr="008159B4" w:rsidRDefault="00726918" w:rsidP="00726918">
      <w:pPr>
        <w:jc w:val="both"/>
      </w:pPr>
      <w:r w:rsidRPr="008159B4">
        <w:t>Konkrétně, co se výstavby nových jaderných zdrojů na území ČR v souladu se strategickým zadáním vymezeným v SEK týče, je s ohledem na zajištění ener</w:t>
      </w:r>
      <w:r w:rsidR="00F32E4B">
        <w:t>getické bezpečnosti ČR a celkového sociálně-společenského</w:t>
      </w:r>
      <w:r w:rsidRPr="008159B4">
        <w:t xml:space="preserve"> přínos</w:t>
      </w:r>
      <w:r w:rsidR="00F32E4B">
        <w:t>u</w:t>
      </w:r>
      <w:r w:rsidRPr="008159B4">
        <w:t xml:space="preserve"> </w:t>
      </w:r>
      <w:r w:rsidRPr="008159B4">
        <w:rPr>
          <w:b/>
        </w:rPr>
        <w:t>z pohledu státu žádoucí neodkladně zahájit přípravu na</w:t>
      </w:r>
      <w:r w:rsidR="00456D3B">
        <w:rPr>
          <w:b/>
        </w:rPr>
        <w:t xml:space="preserve"> umístění a</w:t>
      </w:r>
      <w:r w:rsidRPr="008159B4">
        <w:rPr>
          <w:b/>
        </w:rPr>
        <w:t xml:space="preserve"> výstavbu jednoho jaderného </w:t>
      </w:r>
      <w:r w:rsidR="00C62F48" w:rsidRPr="008159B4">
        <w:rPr>
          <w:b/>
        </w:rPr>
        <w:t xml:space="preserve">bloku </w:t>
      </w:r>
      <w:r w:rsidRPr="008159B4">
        <w:rPr>
          <w:b/>
        </w:rPr>
        <w:t xml:space="preserve">v lokalitě Temelín a jednoho </w:t>
      </w:r>
      <w:r w:rsidR="00C62F48" w:rsidRPr="008159B4">
        <w:rPr>
          <w:b/>
        </w:rPr>
        <w:t xml:space="preserve">bloku </w:t>
      </w:r>
      <w:r w:rsidRPr="008159B4">
        <w:rPr>
          <w:b/>
        </w:rPr>
        <w:t xml:space="preserve">v lokalitě Dukovany a zároveň ochránit možná rizika tím, že budou zajištěna potřebná povolení pro možnost výstavby dvou </w:t>
      </w:r>
      <w:r w:rsidR="00C62F48" w:rsidRPr="008159B4">
        <w:rPr>
          <w:b/>
        </w:rPr>
        <w:t xml:space="preserve">bloků </w:t>
      </w:r>
      <w:r w:rsidRPr="008159B4">
        <w:rPr>
          <w:b/>
        </w:rPr>
        <w:t xml:space="preserve">na obou lokalitách. </w:t>
      </w:r>
      <w:r w:rsidRPr="008159B4">
        <w:t xml:space="preserve">Zejména z důvodů udržení pokračování výroby v lokalitě Dukovany je </w:t>
      </w:r>
      <w:r w:rsidRPr="008159B4">
        <w:rPr>
          <w:b/>
        </w:rPr>
        <w:t>klíčová výstavba bloku v Dukovanech a jeho spuštění do roku 2037</w:t>
      </w:r>
      <w:r w:rsidRPr="008159B4">
        <w:t xml:space="preserve"> tak, aby byla zajištěna kontinuita provozu jaderného zdroje a lidských zdrojů v lokalitě po období 2037, kdy se předpokládá odstavení stávající JE.</w:t>
      </w:r>
    </w:p>
    <w:p w:rsidR="00726918" w:rsidRPr="008159B4" w:rsidRDefault="00726918" w:rsidP="00726918">
      <w:pPr>
        <w:jc w:val="both"/>
      </w:pPr>
      <w:r w:rsidRPr="008159B4">
        <w:rPr>
          <w:b/>
        </w:rPr>
        <w:t xml:space="preserve">Z pohledu státu jednoznačně preferovanou variantou investičního modelu výstavby </w:t>
      </w:r>
      <w:r w:rsidR="00EE6762">
        <w:rPr>
          <w:b/>
        </w:rPr>
        <w:t xml:space="preserve">nových jaderných zdrojů (NJZ) </w:t>
      </w:r>
      <w:r w:rsidRPr="008159B4">
        <w:rPr>
          <w:b/>
        </w:rPr>
        <w:t xml:space="preserve">je varianta </w:t>
      </w:r>
      <w:r w:rsidRPr="008159B4">
        <w:rPr>
          <w:b/>
          <w:u w:val="single"/>
        </w:rPr>
        <w:t>investice prostřednictvím stávajícího majitele a provozovatele jaderných elektráren společností ČEZ, a. s</w:t>
      </w:r>
      <w:r w:rsidRPr="008159B4">
        <w:rPr>
          <w:b/>
        </w:rPr>
        <w:t>.</w:t>
      </w:r>
      <w:r w:rsidR="0047075F" w:rsidRPr="008159B4">
        <w:rPr>
          <w:b/>
        </w:rPr>
        <w:t>, popř. její 100% vlastněnou dceřinou společností.</w:t>
      </w:r>
      <w:r w:rsidRPr="008159B4">
        <w:t xml:space="preserve"> Tato</w:t>
      </w:r>
      <w:r w:rsidRPr="00440AFA">
        <w:t xml:space="preserve"> </w:t>
      </w:r>
      <w:r>
        <w:t xml:space="preserve">první </w:t>
      </w:r>
      <w:r w:rsidRPr="00440AFA">
        <w:t xml:space="preserve">varianta vychází z předpokladu, že společnost ČEZ v návaznosti na schválenou </w:t>
      </w:r>
      <w:r>
        <w:t>SEK</w:t>
      </w:r>
      <w:r w:rsidRPr="00440AFA">
        <w:t xml:space="preserve"> vymezující zamýšlenou strukturu výroby elektrické energie</w:t>
      </w:r>
      <w:r w:rsidR="00F32E4B">
        <w:t xml:space="preserve"> v</w:t>
      </w:r>
      <w:r w:rsidRPr="00440AFA">
        <w:t xml:space="preserve"> ČR, včetně cílů pro výstavbu nových jaderných zdrojů ve vymezeném časovém horizo</w:t>
      </w:r>
      <w:r>
        <w:t>ntu, vypracuje relevantní investiční záměr.</w:t>
      </w:r>
    </w:p>
    <w:p w:rsidR="00726918" w:rsidRPr="00311DA7" w:rsidRDefault="00726918" w:rsidP="00726918">
      <w:pPr>
        <w:jc w:val="both"/>
        <w:rPr>
          <w:rFonts w:cstheme="minorHAnsi"/>
        </w:rPr>
      </w:pPr>
      <w:r w:rsidRPr="00311DA7">
        <w:rPr>
          <w:rFonts w:cstheme="minorHAnsi"/>
        </w:rPr>
        <w:t xml:space="preserve">V případě, </w:t>
      </w:r>
      <w:r w:rsidR="008159B4" w:rsidRPr="00311DA7">
        <w:rPr>
          <w:rFonts w:cstheme="minorHAnsi"/>
        </w:rPr>
        <w:t>kdy by</w:t>
      </w:r>
      <w:r w:rsidRPr="00311DA7">
        <w:rPr>
          <w:rFonts w:cstheme="minorHAnsi"/>
        </w:rPr>
        <w:t xml:space="preserve"> investorský záměr </w:t>
      </w:r>
      <w:r w:rsidR="00C62F48" w:rsidRPr="00311DA7">
        <w:rPr>
          <w:rFonts w:cstheme="minorHAnsi"/>
        </w:rPr>
        <w:t xml:space="preserve">zpracovaný společností ČEZ </w:t>
      </w:r>
      <w:r w:rsidR="00311DA7">
        <w:rPr>
          <w:rFonts w:cstheme="minorHAnsi"/>
        </w:rPr>
        <w:t xml:space="preserve">nebyl jejím prostřednictvím z nějakého důvodu realizován podle </w:t>
      </w:r>
      <w:r w:rsidR="00C62F48" w:rsidRPr="00311DA7">
        <w:rPr>
          <w:rFonts w:cstheme="minorHAnsi"/>
        </w:rPr>
        <w:t xml:space="preserve">postupu </w:t>
      </w:r>
      <w:r w:rsidRPr="00311DA7">
        <w:rPr>
          <w:rFonts w:cstheme="minorHAnsi"/>
        </w:rPr>
        <w:t>dle první varianty, může stát přistoupit k zajištění výstavby nových zdrojů JE v časovém harmonogramu vymezeném v SEK, prostřednictvím výběru alternativních dvou variant.</w:t>
      </w:r>
    </w:p>
    <w:p w:rsidR="00726918" w:rsidRPr="00311DA7" w:rsidRDefault="00726918" w:rsidP="00726918">
      <w:pPr>
        <w:jc w:val="both"/>
        <w:rPr>
          <w:rFonts w:cstheme="minorHAnsi"/>
        </w:rPr>
      </w:pPr>
      <w:r w:rsidRPr="00311DA7">
        <w:rPr>
          <w:rFonts w:cstheme="minorHAnsi"/>
          <w:b/>
        </w:rPr>
        <w:t xml:space="preserve">Druhou </w:t>
      </w:r>
      <w:r w:rsidR="00F32E4B" w:rsidRPr="00311DA7">
        <w:rPr>
          <w:rFonts w:cstheme="minorHAnsi"/>
          <w:b/>
        </w:rPr>
        <w:t xml:space="preserve">možností </w:t>
      </w:r>
      <w:r w:rsidRPr="00311DA7">
        <w:rPr>
          <w:rFonts w:cstheme="minorHAnsi"/>
          <w:b/>
        </w:rPr>
        <w:t xml:space="preserve">je varianta </w:t>
      </w:r>
      <w:r w:rsidRPr="00311DA7">
        <w:rPr>
          <w:rFonts w:cstheme="minorHAnsi"/>
          <w:b/>
          <w:u w:val="single"/>
        </w:rPr>
        <w:t>privátního investorského konsorcia</w:t>
      </w:r>
      <w:r w:rsidR="00431406" w:rsidRPr="00311DA7">
        <w:rPr>
          <w:rFonts w:cstheme="minorHAnsi"/>
          <w:b/>
          <w:u w:val="single"/>
        </w:rPr>
        <w:t>, tzn. sdružení investorů s cílem dosažení určitého cíle (</w:t>
      </w:r>
      <w:r w:rsidR="00431406" w:rsidRPr="00311DA7">
        <w:rPr>
          <w:rFonts w:cstheme="minorHAnsi"/>
        </w:rPr>
        <w:t xml:space="preserve">ČEZ, finanční investor, velký odběratel, dodavatel jaderného bloku atd.). Složení konsorcia a procentuální rozložení </w:t>
      </w:r>
      <w:r w:rsidR="003A1FE3">
        <w:rPr>
          <w:rFonts w:cstheme="minorHAnsi"/>
        </w:rPr>
        <w:t xml:space="preserve">majetkových podílů </w:t>
      </w:r>
      <w:r w:rsidR="00431406" w:rsidRPr="00311DA7">
        <w:rPr>
          <w:rFonts w:cstheme="minorHAnsi"/>
        </w:rPr>
        <w:t>závisí na ochotě jednotlivých investorů vstoupit do projektu.</w:t>
      </w:r>
      <w:r w:rsidR="00311DA7">
        <w:rPr>
          <w:rFonts w:cstheme="minorHAnsi"/>
        </w:rPr>
        <w:t xml:space="preserve"> Zde lze ovšem s ohledem na zkušenosti z jiných projektů v Evropě předpokládat, že za stávající tržní situace bude takového privátní konsorcium po vládě očekávat nějakou formu garancí.</w:t>
      </w:r>
    </w:p>
    <w:p w:rsidR="00726918" w:rsidRPr="008159B4" w:rsidRDefault="00431406" w:rsidP="00726918">
      <w:pPr>
        <w:jc w:val="both"/>
      </w:pPr>
      <w:r>
        <w:lastRenderedPageBreak/>
        <w:t>Poslední hypotetická možnost je</w:t>
      </w:r>
      <w:r w:rsidR="00726918" w:rsidRPr="008159B4">
        <w:t xml:space="preserve"> </w:t>
      </w:r>
      <w:r w:rsidR="00726918" w:rsidRPr="008159B4">
        <w:rPr>
          <w:b/>
          <w:u w:val="single"/>
        </w:rPr>
        <w:t>přímá výstavba ze strany státu</w:t>
      </w:r>
      <w:r w:rsidR="00726918" w:rsidRPr="008159B4">
        <w:rPr>
          <w:u w:val="single"/>
        </w:rPr>
        <w:t xml:space="preserve"> </w:t>
      </w:r>
      <w:r w:rsidR="00726918" w:rsidRPr="008159B4">
        <w:rPr>
          <w:b/>
          <w:u w:val="single"/>
        </w:rPr>
        <w:t>prostřednictvím nově založeného státního podniku</w:t>
      </w:r>
      <w:r w:rsidR="00726918" w:rsidRPr="008159B4">
        <w:t>.</w:t>
      </w:r>
      <w:r>
        <w:t xml:space="preserve"> Tato varianta je však z důvodu velkého počtu negativ a především z důvodu vysokého dopadu na státní rozpočet a s tím souvisejícího zvyšování státního dluhu nejméně pravděpodobná a je proto uváděna pouze pro úplnost.</w:t>
      </w:r>
    </w:p>
    <w:p w:rsidR="00123B2D" w:rsidRPr="008159B4" w:rsidRDefault="00123B2D" w:rsidP="00726918">
      <w:pPr>
        <w:jc w:val="both"/>
        <w:rPr>
          <w:b/>
        </w:rPr>
      </w:pPr>
      <w:r w:rsidRPr="008159B4">
        <w:rPr>
          <w:b/>
        </w:rPr>
        <w:t>Doporučen</w:t>
      </w:r>
      <w:r w:rsidR="00431406">
        <w:rPr>
          <w:b/>
        </w:rPr>
        <w:t>ý</w:t>
      </w:r>
      <w:r w:rsidRPr="008159B4">
        <w:rPr>
          <w:b/>
        </w:rPr>
        <w:t xml:space="preserve"> postup přípravy </w:t>
      </w:r>
      <w:r w:rsidR="00DF7F83">
        <w:rPr>
          <w:b/>
        </w:rPr>
        <w:t>nového jaderného zdroje</w:t>
      </w:r>
    </w:p>
    <w:p w:rsidR="00726918" w:rsidRPr="008159B4" w:rsidRDefault="00C62F48" w:rsidP="00726918">
      <w:pPr>
        <w:jc w:val="both"/>
        <w:rPr>
          <w:b/>
        </w:rPr>
      </w:pPr>
      <w:r w:rsidRPr="008159B4">
        <w:t>Z důvodu vysoké míry nejistoty budoucí situace na trhu s elektřinou se doporučuje pokračovat v </w:t>
      </w:r>
      <w:r w:rsidR="00726918" w:rsidRPr="008159B4">
        <w:t xml:space="preserve"> procesu </w:t>
      </w:r>
      <w:r w:rsidRPr="008159B4">
        <w:t xml:space="preserve">přípravy a </w:t>
      </w:r>
      <w:r w:rsidR="00726918" w:rsidRPr="008159B4">
        <w:t xml:space="preserve">výstavby </w:t>
      </w:r>
      <w:r w:rsidR="00DF7F83">
        <w:t xml:space="preserve">nového jaderného zdroje </w:t>
      </w:r>
      <w:r w:rsidR="00726918" w:rsidRPr="008159B4">
        <w:t xml:space="preserve">ve dvou </w:t>
      </w:r>
      <w:r w:rsidR="00123B2D" w:rsidRPr="008159B4">
        <w:t>fázích</w:t>
      </w:r>
      <w:r w:rsidR="00726918" w:rsidRPr="008159B4">
        <w:t>.</w:t>
      </w:r>
    </w:p>
    <w:p w:rsidR="00726918" w:rsidRPr="008159B4" w:rsidRDefault="00726918" w:rsidP="00726918">
      <w:pPr>
        <w:jc w:val="both"/>
      </w:pPr>
      <w:r w:rsidRPr="008159B4">
        <w:t xml:space="preserve">V první fázi je zcela stěžejní uchovat pro ČR všechny potřebné kapacity pro budoucí výstavbu nových zdrojů, tj. je potřeba neprodleně pokračovat v přípravných pracích vedoucích k výstavbě, včetně </w:t>
      </w:r>
      <w:r w:rsidR="00013DB0" w:rsidRPr="008159B4">
        <w:t>z</w:t>
      </w:r>
      <w:r w:rsidR="00013DB0">
        <w:t>ískání</w:t>
      </w:r>
      <w:r w:rsidR="00013DB0" w:rsidRPr="008159B4">
        <w:t xml:space="preserve"> </w:t>
      </w:r>
      <w:r w:rsidRPr="008159B4">
        <w:t>všech potřebných povolení a uzavření smluv s dodavateli, jejichž účinnost bude omezena na činnosti nezbytné</w:t>
      </w:r>
      <w:r w:rsidRPr="00440AFA">
        <w:t xml:space="preserve"> pro </w:t>
      </w:r>
      <w:r w:rsidRPr="008159B4">
        <w:t>zajištění projektové přípravy nutné pro zpracování licenční a povolovací dokumentace a pro zahájení výstavby po získání stavebního povolení. Tyto práce by měla provádět i</w:t>
      </w:r>
      <w:r w:rsidR="00B71544">
        <w:t> </w:t>
      </w:r>
      <w:r w:rsidRPr="008159B4">
        <w:t xml:space="preserve">nadále společnost ČEZ. Časový rámec až do získání stavebního povolení je zhruba </w:t>
      </w:r>
      <w:r w:rsidR="00E05DD7" w:rsidRPr="008159B4">
        <w:t xml:space="preserve">okolo </w:t>
      </w:r>
      <w:r w:rsidRPr="008159B4">
        <w:t>roku 2025.</w:t>
      </w:r>
    </w:p>
    <w:p w:rsidR="00726918" w:rsidRPr="008159B4" w:rsidRDefault="00726918" w:rsidP="00726918">
      <w:pPr>
        <w:jc w:val="both"/>
      </w:pPr>
      <w:r w:rsidRPr="008159B4">
        <w:t xml:space="preserve">Následně,  nejpozději před vydáním stavebního povolení (předpoklad </w:t>
      </w:r>
      <w:r w:rsidR="00B963AC">
        <w:t>okolo roku</w:t>
      </w:r>
      <w:r w:rsidRPr="008159B4">
        <w:t xml:space="preserve"> 2025), v době, kdy bude reálně potřeba rozhodnout o výstavbě nových zdrojů a o vydání oznámení o plné účinnosti dodavatelské s</w:t>
      </w:r>
      <w:r w:rsidR="00013DB0">
        <w:t>mlouvy s dodavatelem, a reálném</w:t>
      </w:r>
      <w:r w:rsidRPr="008159B4">
        <w:t xml:space="preserve"> vynaložení investičních nákladů v objemu cca 250 – 300 mld. Kč (při výstavbě dvou bloků), by na základě tržní situace došlo k posouzení, zda</w:t>
      </w:r>
      <w:r w:rsidR="00A612ED">
        <w:t xml:space="preserve"> přetrvává potřeba výstavby nového jaderného zdroje a zda</w:t>
      </w:r>
      <w:r w:rsidRPr="008159B4">
        <w:t>:</w:t>
      </w:r>
    </w:p>
    <w:p w:rsidR="00726918" w:rsidRPr="008159B4" w:rsidRDefault="00F32E4B" w:rsidP="0044189F">
      <w:pPr>
        <w:pStyle w:val="Odstavecseseznamem"/>
        <w:numPr>
          <w:ilvl w:val="0"/>
          <w:numId w:val="21"/>
        </w:numPr>
        <w:spacing w:before="240"/>
        <w:jc w:val="both"/>
      </w:pPr>
      <w:proofErr w:type="gramStart"/>
      <w:r>
        <w:t>s</w:t>
      </w:r>
      <w:r w:rsidR="00726918" w:rsidRPr="008159B4">
        <w:t>e</w:t>
      </w:r>
      <w:proofErr w:type="gramEnd"/>
      <w:r w:rsidR="00726918" w:rsidRPr="008159B4">
        <w:t xml:space="preserve"> tržní situace již natolik stabilizovala, aby bylo možné nové jaderné zdroje stavět i bez jakýchkoliv státních garancí a ČEZ by postav</w:t>
      </w:r>
      <w:r w:rsidR="00013DB0">
        <w:t>il nové zdroje na komerční bázi;</w:t>
      </w:r>
    </w:p>
    <w:p w:rsidR="00726918" w:rsidRPr="008159B4" w:rsidRDefault="00F32E4B" w:rsidP="0044189F">
      <w:pPr>
        <w:pStyle w:val="Odstavecseseznamem"/>
        <w:numPr>
          <w:ilvl w:val="0"/>
          <w:numId w:val="21"/>
        </w:numPr>
        <w:spacing w:before="240"/>
        <w:jc w:val="both"/>
      </w:pPr>
      <w:r>
        <w:t>t</w:t>
      </w:r>
      <w:r w:rsidR="00726918" w:rsidRPr="008159B4">
        <w:t xml:space="preserve">ržní deformace přetrvávají a nové jaderné zdroje není možné bez poskytnutí jakýchkoliv garancí stavět. V tomto případě </w:t>
      </w:r>
      <w:r w:rsidR="00123B2D" w:rsidRPr="008159B4">
        <w:t>musí</w:t>
      </w:r>
      <w:r w:rsidR="00726918" w:rsidRPr="008159B4">
        <w:t xml:space="preserve"> stát rozhodnout</w:t>
      </w:r>
      <w:r w:rsidR="00431406">
        <w:t>, zda a</w:t>
      </w:r>
      <w:r w:rsidR="00726918" w:rsidRPr="008159B4">
        <w:t xml:space="preserve"> jakou formu garancí </w:t>
      </w:r>
      <w:r w:rsidR="00431406">
        <w:t xml:space="preserve">investorovi </w:t>
      </w:r>
      <w:r w:rsidR="00726918" w:rsidRPr="008159B4">
        <w:t>poskytne</w:t>
      </w:r>
      <w:r w:rsidR="00B13915">
        <w:rPr>
          <w:rStyle w:val="Znakapoznpodarou"/>
        </w:rPr>
        <w:footnoteReference w:id="2"/>
      </w:r>
      <w:r w:rsidR="00726918" w:rsidRPr="008159B4">
        <w:t>.</w:t>
      </w:r>
    </w:p>
    <w:p w:rsidR="00B71544" w:rsidRDefault="00726918" w:rsidP="00726918">
      <w:pPr>
        <w:jc w:val="both"/>
      </w:pPr>
      <w:r w:rsidRPr="008159B4">
        <w:t>Výše uvedené varianty mají určité odlišnost</w:t>
      </w:r>
      <w:r w:rsidRPr="00440AFA">
        <w:t>i i v možnosti ovlivnit podíl domácích dodavatelských firem na celkové dodávce</w:t>
      </w:r>
      <w:r>
        <w:t>.</w:t>
      </w:r>
      <w:r w:rsidRPr="00440AFA">
        <w:t xml:space="preserve"> Zatímco v prvních dvou variantách má stát pouze nepřímé nástroje na prosazení většího podílu českých firem (prostřednictvím uplatnění svých akcionářských práv, </w:t>
      </w:r>
      <w:r w:rsidR="00AE2D98">
        <w:t xml:space="preserve">případně </w:t>
      </w:r>
      <w:r w:rsidRPr="00440AFA">
        <w:t xml:space="preserve">definováním </w:t>
      </w:r>
      <w:r w:rsidR="00AE2D98">
        <w:t>formy garancí</w:t>
      </w:r>
      <w:r w:rsidRPr="00440AFA">
        <w:t xml:space="preserve">), ve třetí variantě může stát podíl českých firem ovlivnit efektivněji (za předpokladu získání výjimky ze </w:t>
      </w:r>
      <w:r w:rsidR="0055254E">
        <w:t xml:space="preserve">zákona o veřejných zakázkách – </w:t>
      </w:r>
      <w:r w:rsidRPr="00440AFA">
        <w:t xml:space="preserve">ZVZ). </w:t>
      </w:r>
      <w:r w:rsidRPr="00DC346B">
        <w:rPr>
          <w:b/>
        </w:rPr>
        <w:t xml:space="preserve">Klíčovým faktorem pro možnost ovlivnit podíl domácích dodavatelských firem je přitom způsob obchodního zajištění </w:t>
      </w:r>
      <w:r w:rsidRPr="00440AFA">
        <w:t xml:space="preserve">– v případě výběru </w:t>
      </w:r>
      <w:r w:rsidR="005F4063">
        <w:t>dodavatele elektrárny na klíč (</w:t>
      </w:r>
      <w:r w:rsidRPr="00440AFA">
        <w:t>EPC dodavatele</w:t>
      </w:r>
      <w:r w:rsidR="005F4063">
        <w:t>)</w:t>
      </w:r>
      <w:r w:rsidRPr="00440AFA">
        <w:t xml:space="preserve"> podle ZVZ není možné hodnotit výši podílu domácích dodavatelů, a proto jsou nástroje pro motivaci EPC dodavatele využít domácí dodavatele velmi omezené. V </w:t>
      </w:r>
      <w:r w:rsidR="00013DB0">
        <w:t xml:space="preserve">případě získání výjimky ze ZVZ </w:t>
      </w:r>
      <w:r w:rsidRPr="00440AFA">
        <w:t xml:space="preserve">je možné podíl domácích dodavatelů účinně ovlivnit (hodnotící kritérium, stanovení minimálního podílu domácích dodavatelů, </w:t>
      </w:r>
      <w:r w:rsidRPr="008159B4">
        <w:t>cenová preference apod.)</w:t>
      </w:r>
      <w:r w:rsidR="003A1FE3">
        <w:t xml:space="preserve">. </w:t>
      </w:r>
    </w:p>
    <w:p w:rsidR="00B71544" w:rsidRDefault="00B71544">
      <w:r>
        <w:br w:type="page"/>
      </w:r>
    </w:p>
    <w:p w:rsidR="00726918" w:rsidRPr="008159B4" w:rsidRDefault="00726918" w:rsidP="00726918">
      <w:pPr>
        <w:rPr>
          <w:b/>
          <w:u w:val="single"/>
        </w:rPr>
      </w:pPr>
      <w:r w:rsidRPr="00726918">
        <w:rPr>
          <w:b/>
          <w:u w:val="single"/>
        </w:rPr>
        <w:lastRenderedPageBreak/>
        <w:t xml:space="preserve">Shrnutí </w:t>
      </w:r>
      <w:r w:rsidRPr="008159B4">
        <w:rPr>
          <w:b/>
          <w:u w:val="single"/>
        </w:rPr>
        <w:t>doporučených kroků pro výstavbu nových jaderných zdrojů v ČR:</w:t>
      </w:r>
    </w:p>
    <w:p w:rsidR="004916BA" w:rsidRPr="008159B4" w:rsidRDefault="004916BA" w:rsidP="004916BA">
      <w:pPr>
        <w:pStyle w:val="Odstavecseseznamem"/>
        <w:numPr>
          <w:ilvl w:val="0"/>
          <w:numId w:val="100"/>
        </w:numPr>
        <w:spacing w:after="0"/>
        <w:jc w:val="both"/>
        <w:rPr>
          <w:b/>
        </w:rPr>
      </w:pPr>
      <w:r>
        <w:rPr>
          <w:b/>
        </w:rPr>
        <w:t>V</w:t>
      </w:r>
      <w:r w:rsidRPr="008159B4">
        <w:rPr>
          <w:b/>
        </w:rPr>
        <w:t xml:space="preserve">zhledem k tomu, že </w:t>
      </w:r>
      <w:r>
        <w:rPr>
          <w:b/>
        </w:rPr>
        <w:t xml:space="preserve">některé </w:t>
      </w:r>
      <w:r w:rsidRPr="008159B4">
        <w:rPr>
          <w:b/>
        </w:rPr>
        <w:t>z variant investičního modelu vyžadují založení speciální společnosti (SPV), do níž budou vyvedena všechn</w:t>
      </w:r>
      <w:r>
        <w:rPr>
          <w:b/>
        </w:rPr>
        <w:t>a</w:t>
      </w:r>
      <w:r w:rsidRPr="008159B4">
        <w:rPr>
          <w:b/>
        </w:rPr>
        <w:t xml:space="preserve"> relevantní aktiva pro dostavbu jaderných bloků na obou stávajících lokalitách, doporučuje se začít tento proces na úrovni společnosti ČEZ připravovat.</w:t>
      </w:r>
      <w:r>
        <w:rPr>
          <w:b/>
        </w:rPr>
        <w:t xml:space="preserve"> Zároveň je nutné zahájit přípravu na výběr EPC dodavatele v souladu s vybraným obchodním modelem.</w:t>
      </w:r>
    </w:p>
    <w:p w:rsidR="004916BA" w:rsidRPr="008159B4" w:rsidRDefault="004916BA" w:rsidP="004916BA">
      <w:pPr>
        <w:pStyle w:val="Odstavecseseznamem"/>
        <w:numPr>
          <w:ilvl w:val="0"/>
          <w:numId w:val="100"/>
        </w:numPr>
        <w:spacing w:after="0"/>
        <w:ind w:hanging="357"/>
        <w:jc w:val="both"/>
        <w:rPr>
          <w:b/>
        </w:rPr>
      </w:pPr>
      <w:r>
        <w:rPr>
          <w:b/>
        </w:rPr>
        <w:t>Z</w:t>
      </w:r>
      <w:r w:rsidRPr="008159B4">
        <w:rPr>
          <w:b/>
        </w:rPr>
        <w:t>ároveň je klíčové, aby nedošlo k nevratným krokům uvnitř skupiny ČEZ, které by vedly k omezení lidských kapacit potřebný</w:t>
      </w:r>
      <w:r>
        <w:rPr>
          <w:b/>
        </w:rPr>
        <w:t>ch pro realizaci tohoto NAP JE. Dále je potřebné budování kompetencí projektového týmu.</w:t>
      </w:r>
    </w:p>
    <w:p w:rsidR="004916BA" w:rsidRPr="008159B4" w:rsidRDefault="004916BA" w:rsidP="004916BA">
      <w:pPr>
        <w:pStyle w:val="Odstavecseseznamem"/>
        <w:numPr>
          <w:ilvl w:val="0"/>
          <w:numId w:val="100"/>
        </w:numPr>
        <w:spacing w:after="0"/>
        <w:ind w:hanging="357"/>
        <w:contextualSpacing w:val="0"/>
        <w:jc w:val="both"/>
        <w:rPr>
          <w:b/>
        </w:rPr>
      </w:pPr>
      <w:r>
        <w:rPr>
          <w:b/>
        </w:rPr>
        <w:t>Z</w:t>
      </w:r>
      <w:r w:rsidRPr="008159B4">
        <w:rPr>
          <w:b/>
        </w:rPr>
        <w:t>ahájení kontaktů se strategickými partnery pro výstavbu jaderného bloku v</w:t>
      </w:r>
      <w:r>
        <w:rPr>
          <w:b/>
        </w:rPr>
        <w:t> </w:t>
      </w:r>
      <w:r w:rsidRPr="008159B4">
        <w:rPr>
          <w:b/>
        </w:rPr>
        <w:t>ČR</w:t>
      </w:r>
      <w:r>
        <w:rPr>
          <w:b/>
        </w:rPr>
        <w:t>.</w:t>
      </w:r>
    </w:p>
    <w:p w:rsidR="004916BA" w:rsidRPr="008159B4" w:rsidRDefault="004916BA" w:rsidP="004916BA">
      <w:pPr>
        <w:pStyle w:val="Odstavecseseznamem"/>
        <w:numPr>
          <w:ilvl w:val="0"/>
          <w:numId w:val="100"/>
        </w:numPr>
        <w:spacing w:after="0"/>
        <w:ind w:hanging="357"/>
        <w:contextualSpacing w:val="0"/>
        <w:jc w:val="both"/>
        <w:rPr>
          <w:b/>
        </w:rPr>
      </w:pPr>
      <w:r>
        <w:rPr>
          <w:b/>
        </w:rPr>
        <w:t>J</w:t>
      </w:r>
      <w:r w:rsidRPr="008159B4">
        <w:rPr>
          <w:b/>
        </w:rPr>
        <w:t>ednání s Evropskou komisí o způsobu výběru dodavatele, způsobu financování a zajištění návratnosti</w:t>
      </w:r>
      <w:r>
        <w:rPr>
          <w:b/>
        </w:rPr>
        <w:t>.</w:t>
      </w:r>
    </w:p>
    <w:p w:rsidR="004916BA" w:rsidRPr="00440AFA" w:rsidRDefault="004916BA" w:rsidP="004916BA">
      <w:pPr>
        <w:pStyle w:val="Odstavecseseznamem"/>
        <w:numPr>
          <w:ilvl w:val="0"/>
          <w:numId w:val="100"/>
        </w:numPr>
        <w:spacing w:after="0"/>
        <w:ind w:hanging="357"/>
        <w:contextualSpacing w:val="0"/>
        <w:jc w:val="both"/>
        <w:rPr>
          <w:b/>
        </w:rPr>
      </w:pPr>
      <w:r>
        <w:rPr>
          <w:b/>
        </w:rPr>
        <w:t>O</w:t>
      </w:r>
      <w:r w:rsidRPr="00440AFA">
        <w:rPr>
          <w:b/>
        </w:rPr>
        <w:t>kamžité pokračování přípravy projektu ve variantě 2 bloků s následnou výstavbou 1 bloku (a s možností rozšíření na 2 bloky) v lokalitě Temelín</w:t>
      </w:r>
      <w:r>
        <w:rPr>
          <w:b/>
        </w:rPr>
        <w:t>.</w:t>
      </w:r>
    </w:p>
    <w:p w:rsidR="004916BA" w:rsidRPr="00440AFA" w:rsidRDefault="004916BA" w:rsidP="004916BA">
      <w:pPr>
        <w:pStyle w:val="Odstavecseseznamem"/>
        <w:numPr>
          <w:ilvl w:val="1"/>
          <w:numId w:val="100"/>
        </w:numPr>
        <w:spacing w:after="0"/>
        <w:ind w:hanging="357"/>
        <w:contextualSpacing w:val="0"/>
        <w:jc w:val="both"/>
      </w:pPr>
      <w:r w:rsidRPr="00440AFA">
        <w:t>SPV – příprava na vyčlenění, aby byl možný vstup partnera</w:t>
      </w:r>
      <w:r>
        <w:t>.</w:t>
      </w:r>
    </w:p>
    <w:p w:rsidR="004916BA" w:rsidRPr="00440AFA" w:rsidRDefault="0055254E" w:rsidP="004916BA">
      <w:pPr>
        <w:pStyle w:val="Odstavecseseznamem"/>
        <w:numPr>
          <w:ilvl w:val="1"/>
          <w:numId w:val="100"/>
        </w:numPr>
        <w:spacing w:after="0"/>
        <w:ind w:hanging="357"/>
        <w:contextualSpacing w:val="0"/>
        <w:jc w:val="both"/>
      </w:pPr>
      <w:r>
        <w:t>posouzení vlivů na životní prostředí (</w:t>
      </w:r>
      <w:r w:rsidR="004916BA" w:rsidRPr="00440AFA">
        <w:t>EIA</w:t>
      </w:r>
      <w:r>
        <w:t>)</w:t>
      </w:r>
      <w:r w:rsidR="004916BA" w:rsidRPr="00440AFA">
        <w:t xml:space="preserve"> – plnění podmínek</w:t>
      </w:r>
      <w:r w:rsidR="004916BA">
        <w:t>.</w:t>
      </w:r>
    </w:p>
    <w:p w:rsidR="004916BA" w:rsidRPr="007574C5" w:rsidRDefault="004916BA" w:rsidP="004916BA">
      <w:pPr>
        <w:pStyle w:val="Odstavecseseznamem"/>
        <w:numPr>
          <w:ilvl w:val="1"/>
          <w:numId w:val="100"/>
        </w:numPr>
        <w:spacing w:after="0"/>
        <w:ind w:hanging="357"/>
        <w:contextualSpacing w:val="0"/>
        <w:jc w:val="both"/>
      </w:pPr>
      <w:r>
        <w:t>P</w:t>
      </w:r>
      <w:r w:rsidRPr="00440AFA">
        <w:t xml:space="preserve">říprava </w:t>
      </w:r>
      <w:r w:rsidRPr="007574C5">
        <w:t>na výběr dodavatele – technické podklady</w:t>
      </w:r>
      <w:r>
        <w:t>.</w:t>
      </w:r>
    </w:p>
    <w:p w:rsidR="004916BA" w:rsidRPr="007574C5" w:rsidRDefault="004916BA" w:rsidP="004916BA">
      <w:pPr>
        <w:pStyle w:val="Odstavecseseznamem"/>
        <w:numPr>
          <w:ilvl w:val="1"/>
          <w:numId w:val="100"/>
        </w:numPr>
        <w:spacing w:after="0"/>
        <w:ind w:hanging="357"/>
        <w:contextualSpacing w:val="0"/>
        <w:jc w:val="both"/>
      </w:pPr>
      <w:r>
        <w:t>Povolení k umístění - pro SPV.</w:t>
      </w:r>
    </w:p>
    <w:p w:rsidR="004916BA" w:rsidRDefault="004916BA" w:rsidP="004916BA">
      <w:pPr>
        <w:pStyle w:val="Odstavecseseznamem"/>
        <w:numPr>
          <w:ilvl w:val="1"/>
          <w:numId w:val="100"/>
        </w:numPr>
        <w:spacing w:after="0"/>
        <w:ind w:hanging="357"/>
        <w:contextualSpacing w:val="0"/>
        <w:jc w:val="both"/>
      </w:pPr>
      <w:r>
        <w:t>P</w:t>
      </w:r>
      <w:r w:rsidRPr="007574C5">
        <w:t>okračování přípravy lokality na výstavbu NJZ</w:t>
      </w:r>
      <w:r>
        <w:t>.</w:t>
      </w:r>
    </w:p>
    <w:p w:rsidR="004916BA" w:rsidRDefault="004916BA" w:rsidP="004916BA">
      <w:pPr>
        <w:pStyle w:val="Odstavecseseznamem"/>
        <w:numPr>
          <w:ilvl w:val="1"/>
          <w:numId w:val="100"/>
        </w:numPr>
        <w:spacing w:after="0"/>
        <w:ind w:hanging="357"/>
        <w:contextualSpacing w:val="0"/>
        <w:jc w:val="both"/>
      </w:pPr>
      <w:r w:rsidRPr="0004790B">
        <w:t>Pokračování výkupů potřebných pozemků</w:t>
      </w:r>
      <w:r>
        <w:t>.</w:t>
      </w:r>
    </w:p>
    <w:p w:rsidR="004916BA" w:rsidRDefault="004916BA" w:rsidP="004916BA">
      <w:pPr>
        <w:pStyle w:val="Odstavecseseznamem"/>
        <w:numPr>
          <w:ilvl w:val="1"/>
          <w:numId w:val="100"/>
        </w:numPr>
        <w:spacing w:after="0"/>
        <w:ind w:hanging="357"/>
        <w:contextualSpacing w:val="0"/>
        <w:jc w:val="both"/>
      </w:pPr>
      <w:r w:rsidRPr="0004790B">
        <w:t>Pokračování činností směřujících k zajištění potřebných povolení</w:t>
      </w:r>
      <w:r>
        <w:t>.</w:t>
      </w:r>
    </w:p>
    <w:p w:rsidR="004916BA" w:rsidRPr="007574C5" w:rsidRDefault="004916BA" w:rsidP="004916BA">
      <w:pPr>
        <w:pStyle w:val="Odstavecseseznamem"/>
        <w:numPr>
          <w:ilvl w:val="1"/>
          <w:numId w:val="100"/>
        </w:numPr>
        <w:spacing w:after="0"/>
        <w:ind w:hanging="357"/>
        <w:contextualSpacing w:val="0"/>
        <w:jc w:val="both"/>
      </w:pPr>
      <w:r w:rsidRPr="0004790B">
        <w:t>Příprava</w:t>
      </w:r>
      <w:r>
        <w:t xml:space="preserve"> a kalkulace</w:t>
      </w:r>
      <w:r w:rsidRPr="0004790B">
        <w:t xml:space="preserve"> souvisejících a vyvolaných investic (realizace po rozhodnutí o</w:t>
      </w:r>
      <w:r>
        <w:t> </w:t>
      </w:r>
      <w:r w:rsidRPr="0004790B">
        <w:t>modelu investorského a obchodního zajištění</w:t>
      </w:r>
      <w:r>
        <w:t>).</w:t>
      </w:r>
    </w:p>
    <w:p w:rsidR="004916BA" w:rsidRPr="007574C5" w:rsidRDefault="004916BA" w:rsidP="004916BA">
      <w:pPr>
        <w:pStyle w:val="Odstavecseseznamem"/>
        <w:numPr>
          <w:ilvl w:val="0"/>
          <w:numId w:val="100"/>
        </w:numPr>
        <w:spacing w:after="0"/>
        <w:ind w:hanging="357"/>
        <w:contextualSpacing w:val="0"/>
        <w:jc w:val="both"/>
        <w:rPr>
          <w:b/>
        </w:rPr>
      </w:pPr>
      <w:r>
        <w:rPr>
          <w:b/>
        </w:rPr>
        <w:t>O</w:t>
      </w:r>
      <w:r w:rsidRPr="007574C5">
        <w:rPr>
          <w:b/>
        </w:rPr>
        <w:t>kamžité pokračování přípravy projektu ve variantě 2 bloků s následnou výstavbou 1 bloku (a s možností rozšíření na 2 bloky) v lokalitě Dukovany</w:t>
      </w:r>
      <w:r>
        <w:rPr>
          <w:b/>
        </w:rPr>
        <w:t>.</w:t>
      </w:r>
    </w:p>
    <w:p w:rsidR="004916BA" w:rsidRPr="007574C5" w:rsidRDefault="004916BA" w:rsidP="004916BA">
      <w:pPr>
        <w:pStyle w:val="Odstavecseseznamem"/>
        <w:numPr>
          <w:ilvl w:val="1"/>
          <w:numId w:val="100"/>
        </w:numPr>
        <w:spacing w:after="0"/>
        <w:ind w:hanging="357"/>
        <w:contextualSpacing w:val="0"/>
        <w:jc w:val="both"/>
      </w:pPr>
      <w:r w:rsidRPr="007574C5">
        <w:t>SPV – příprava na vyčlenění, aby byl možný vstup partnera</w:t>
      </w:r>
      <w:r>
        <w:t>.</w:t>
      </w:r>
    </w:p>
    <w:p w:rsidR="004916BA" w:rsidRPr="007574C5" w:rsidRDefault="004916BA" w:rsidP="004916BA">
      <w:pPr>
        <w:pStyle w:val="Odstavecseseznamem"/>
        <w:numPr>
          <w:ilvl w:val="1"/>
          <w:numId w:val="100"/>
        </w:numPr>
        <w:spacing w:after="0"/>
        <w:ind w:hanging="357"/>
        <w:contextualSpacing w:val="0"/>
        <w:jc w:val="both"/>
      </w:pPr>
      <w:r w:rsidRPr="007574C5">
        <w:t>EIA – příprava podkladů a podání</w:t>
      </w:r>
      <w:r>
        <w:t>.</w:t>
      </w:r>
    </w:p>
    <w:p w:rsidR="004916BA" w:rsidRPr="007574C5" w:rsidRDefault="004916BA" w:rsidP="004916BA">
      <w:pPr>
        <w:pStyle w:val="Odstavecseseznamem"/>
        <w:numPr>
          <w:ilvl w:val="1"/>
          <w:numId w:val="100"/>
        </w:numPr>
        <w:spacing w:after="0"/>
        <w:ind w:hanging="357"/>
        <w:contextualSpacing w:val="0"/>
        <w:jc w:val="both"/>
      </w:pPr>
      <w:r>
        <w:t>P</w:t>
      </w:r>
      <w:r w:rsidRPr="007574C5">
        <w:t>říprava na výběr dodavatele – technické podklady</w:t>
      </w:r>
      <w:r>
        <w:t>.</w:t>
      </w:r>
    </w:p>
    <w:p w:rsidR="004916BA" w:rsidRPr="007574C5" w:rsidRDefault="004916BA" w:rsidP="004916BA">
      <w:pPr>
        <w:pStyle w:val="Odstavecseseznamem"/>
        <w:numPr>
          <w:ilvl w:val="1"/>
          <w:numId w:val="100"/>
        </w:numPr>
        <w:spacing w:after="0"/>
        <w:ind w:hanging="357"/>
        <w:contextualSpacing w:val="0"/>
        <w:jc w:val="both"/>
      </w:pPr>
      <w:r>
        <w:t>P</w:t>
      </w:r>
      <w:r w:rsidRPr="007574C5">
        <w:t>ovolení k umístění - pro SPV</w:t>
      </w:r>
      <w:r>
        <w:t>.</w:t>
      </w:r>
    </w:p>
    <w:p w:rsidR="004916BA" w:rsidRDefault="004916BA" w:rsidP="004916BA">
      <w:pPr>
        <w:pStyle w:val="Odstavecseseznamem"/>
        <w:numPr>
          <w:ilvl w:val="1"/>
          <w:numId w:val="100"/>
        </w:numPr>
        <w:spacing w:after="0"/>
        <w:ind w:hanging="357"/>
        <w:contextualSpacing w:val="0"/>
        <w:jc w:val="both"/>
      </w:pPr>
      <w:r>
        <w:t>P</w:t>
      </w:r>
      <w:r w:rsidRPr="007574C5">
        <w:t>okračování přípravy lokality na výstavbu NJZ</w:t>
      </w:r>
      <w:r>
        <w:t>.</w:t>
      </w:r>
    </w:p>
    <w:p w:rsidR="004916BA" w:rsidRDefault="004916BA" w:rsidP="004916BA">
      <w:pPr>
        <w:pStyle w:val="Odstavecseseznamem"/>
        <w:numPr>
          <w:ilvl w:val="1"/>
          <w:numId w:val="100"/>
        </w:numPr>
        <w:spacing w:after="0"/>
        <w:ind w:hanging="357"/>
        <w:contextualSpacing w:val="0"/>
        <w:jc w:val="both"/>
      </w:pPr>
      <w:r w:rsidRPr="0004790B">
        <w:t>Pokračování výkupů potřebných pozemků</w:t>
      </w:r>
      <w:r>
        <w:t>.</w:t>
      </w:r>
    </w:p>
    <w:p w:rsidR="004916BA" w:rsidRDefault="004916BA" w:rsidP="004916BA">
      <w:pPr>
        <w:pStyle w:val="Odstavecseseznamem"/>
        <w:numPr>
          <w:ilvl w:val="1"/>
          <w:numId w:val="100"/>
        </w:numPr>
        <w:spacing w:after="0"/>
        <w:ind w:hanging="357"/>
        <w:contextualSpacing w:val="0"/>
        <w:jc w:val="both"/>
      </w:pPr>
      <w:r w:rsidRPr="0004790B">
        <w:t>Pokračování činností směřujících k zajištění potřebných povolení</w:t>
      </w:r>
      <w:r>
        <w:t>.</w:t>
      </w:r>
    </w:p>
    <w:p w:rsidR="004916BA" w:rsidRPr="007574C5" w:rsidRDefault="004916BA" w:rsidP="004916BA">
      <w:pPr>
        <w:pStyle w:val="Odstavecseseznamem"/>
        <w:numPr>
          <w:ilvl w:val="1"/>
          <w:numId w:val="100"/>
        </w:numPr>
        <w:spacing w:after="0"/>
        <w:ind w:hanging="357"/>
        <w:contextualSpacing w:val="0"/>
        <w:jc w:val="both"/>
      </w:pPr>
      <w:r w:rsidRPr="0004790B">
        <w:t>Příprava</w:t>
      </w:r>
      <w:r>
        <w:t xml:space="preserve"> a kalkulace</w:t>
      </w:r>
      <w:r w:rsidRPr="0004790B">
        <w:t xml:space="preserve"> souvisejících a vyvolaných investic (realizace po rozhodnutí o</w:t>
      </w:r>
      <w:r>
        <w:t> </w:t>
      </w:r>
      <w:r w:rsidRPr="0004790B">
        <w:t>modelu investorského a obchodního zajištění</w:t>
      </w:r>
      <w:r>
        <w:t>).</w:t>
      </w:r>
    </w:p>
    <w:p w:rsidR="004916BA" w:rsidRPr="00A612ED" w:rsidRDefault="004916BA" w:rsidP="00A612ED">
      <w:pPr>
        <w:pStyle w:val="Odstavecseseznamem"/>
        <w:numPr>
          <w:ilvl w:val="0"/>
          <w:numId w:val="100"/>
        </w:numPr>
        <w:spacing w:after="0"/>
        <w:ind w:hanging="357"/>
        <w:contextualSpacing w:val="0"/>
        <w:jc w:val="both"/>
        <w:rPr>
          <w:b/>
        </w:rPr>
      </w:pPr>
      <w:r w:rsidRPr="007574C5">
        <w:rPr>
          <w:b/>
        </w:rPr>
        <w:t xml:space="preserve">Zahájení přípravy legislativních úprav </w:t>
      </w:r>
      <w:r w:rsidRPr="007574C5">
        <w:rPr>
          <w:b/>
          <w:szCs w:val="20"/>
        </w:rPr>
        <w:t>s cílem zjednodušit povolovací a licenční proces a</w:t>
      </w:r>
      <w:r>
        <w:rPr>
          <w:b/>
          <w:szCs w:val="20"/>
        </w:rPr>
        <w:t> </w:t>
      </w:r>
      <w:r w:rsidRPr="007574C5">
        <w:rPr>
          <w:b/>
          <w:szCs w:val="20"/>
        </w:rPr>
        <w:t>minimalizovat s ním spojená rizika dopadů do termínů a nákladů</w:t>
      </w:r>
      <w:r>
        <w:rPr>
          <w:b/>
          <w:szCs w:val="20"/>
        </w:rPr>
        <w:t>.</w:t>
      </w:r>
    </w:p>
    <w:p w:rsidR="00A612ED" w:rsidRPr="00911702" w:rsidRDefault="00A612ED" w:rsidP="00A612ED">
      <w:pPr>
        <w:pStyle w:val="Odstavecseseznamem"/>
        <w:numPr>
          <w:ilvl w:val="0"/>
          <w:numId w:val="100"/>
        </w:numPr>
        <w:spacing w:after="360"/>
        <w:contextualSpacing w:val="0"/>
        <w:jc w:val="both"/>
        <w:rPr>
          <w:b/>
        </w:rPr>
      </w:pPr>
      <w:r>
        <w:rPr>
          <w:b/>
        </w:rPr>
        <w:t xml:space="preserve">Nejpozději před vydáním stavebního povolení zhodnotit, </w:t>
      </w:r>
      <w:r w:rsidRPr="00A612ED">
        <w:rPr>
          <w:b/>
        </w:rPr>
        <w:t>zda přetrvává potřeba výstavby nového jaderného zdroje a zda</w:t>
      </w:r>
      <w:r>
        <w:rPr>
          <w:b/>
        </w:rPr>
        <w:t xml:space="preserve"> došlo ke stabilizaci tržní situace, což by umožnilo provést výstavbu na komerční bázi</w:t>
      </w:r>
      <w:r w:rsidR="00AA5D24">
        <w:rPr>
          <w:b/>
        </w:rPr>
        <w:t>,</w:t>
      </w:r>
      <w:r>
        <w:rPr>
          <w:b/>
        </w:rPr>
        <w:t xml:space="preserve"> tedy bez potřeby státních garancí.</w:t>
      </w:r>
    </w:p>
    <w:p w:rsidR="00013DB0" w:rsidRDefault="00013DB0">
      <w:pPr>
        <w:rPr>
          <w:b/>
          <w:szCs w:val="20"/>
        </w:rPr>
      </w:pPr>
      <w:r>
        <w:rPr>
          <w:b/>
          <w:szCs w:val="20"/>
        </w:rPr>
        <w:br w:type="page"/>
      </w:r>
    </w:p>
    <w:p w:rsidR="00793319" w:rsidRDefault="00CA307E" w:rsidP="00CD2346">
      <w:pPr>
        <w:pStyle w:val="Nadpis1"/>
      </w:pPr>
      <w:bookmarkStart w:id="2" w:name="_Toc407035538"/>
      <w:bookmarkStart w:id="3" w:name="_Toc420055982"/>
      <w:r>
        <w:lastRenderedPageBreak/>
        <w:t>Účel dokumentu</w:t>
      </w:r>
      <w:r w:rsidR="00BC0F0E">
        <w:t xml:space="preserve">, </w:t>
      </w:r>
      <w:r>
        <w:t>východiska</w:t>
      </w:r>
      <w:r w:rsidR="00853DCA">
        <w:t xml:space="preserve"> </w:t>
      </w:r>
      <w:r w:rsidR="00BC0F0E">
        <w:t>a cíle rozvoje jaderné energetiky</w:t>
      </w:r>
      <w:bookmarkEnd w:id="2"/>
      <w:bookmarkEnd w:id="3"/>
    </w:p>
    <w:p w:rsidR="00C57F7E" w:rsidRDefault="00C57F7E" w:rsidP="00C57F7E">
      <w:pPr>
        <w:jc w:val="both"/>
      </w:pPr>
      <w:r>
        <w:t xml:space="preserve">Dokument „Národní akční plán rozvoje jaderné energetiky v ČR“ (NAP JE) </w:t>
      </w:r>
      <w:r w:rsidR="001951CD">
        <w:t xml:space="preserve">navazuje v oblasti jaderné energetiky na </w:t>
      </w:r>
      <w:r>
        <w:t>schválen</w:t>
      </w:r>
      <w:r w:rsidR="001951CD">
        <w:t>ou</w:t>
      </w:r>
      <w:r w:rsidR="001D125D">
        <w:t xml:space="preserve"> Státní energetickou</w:t>
      </w:r>
      <w:r>
        <w:t xml:space="preserve"> koncepc</w:t>
      </w:r>
      <w:r w:rsidR="007C2EC3">
        <w:t>i</w:t>
      </w:r>
      <w:r>
        <w:t xml:space="preserve"> (SEK), která vymezuj</w:t>
      </w:r>
      <w:r w:rsidR="009F0FFB">
        <w:t>e</w:t>
      </w:r>
      <w:r>
        <w:t xml:space="preserve"> koridory pro zamýšlený podíl jednotlivých primárních energetických zdrojů na celkové spotřebě i na výrobě elektrické energie. </w:t>
      </w:r>
      <w:r w:rsidRPr="00150504">
        <w:t>V mezích těchto koridorů</w:t>
      </w:r>
      <w:r w:rsidR="00A01D42" w:rsidRPr="00150504">
        <w:t xml:space="preserve"> a konkrétních strategických vizí a cílů k jejich dosažení ze SEK</w:t>
      </w:r>
      <w:r w:rsidRPr="00150504">
        <w:t xml:space="preserve">, pro které obdrželo </w:t>
      </w:r>
      <w:r w:rsidR="005E762E">
        <w:t>Ministerstvo průmyslu a obchodu (</w:t>
      </w:r>
      <w:r w:rsidRPr="00150504">
        <w:t>MPO</w:t>
      </w:r>
      <w:r w:rsidR="005E762E">
        <w:t>)</w:t>
      </w:r>
      <w:r w:rsidRPr="00150504">
        <w:t xml:space="preserve"> </w:t>
      </w:r>
      <w:r w:rsidR="00092498">
        <w:t xml:space="preserve">závěrečné </w:t>
      </w:r>
      <w:r w:rsidRPr="00150504">
        <w:t xml:space="preserve">stanovisko Ministerstva životního prostředí </w:t>
      </w:r>
      <w:r w:rsidR="005E762E">
        <w:t xml:space="preserve">(MŽP) </w:t>
      </w:r>
      <w:r w:rsidRPr="00150504">
        <w:t>z procesu posuzování vlivů koncepce na životní prostředí</w:t>
      </w:r>
      <w:r w:rsidR="005E762E">
        <w:t xml:space="preserve"> (SEA)</w:t>
      </w:r>
      <w:r w:rsidRPr="00150504">
        <w:t>, a v souladu s jednotlivými strategickými cíli obsaženými v SEK, rozvíjí NAP JE</w:t>
      </w:r>
      <w:r w:rsidR="00A00F9A" w:rsidRPr="00150504">
        <w:t xml:space="preserve"> mimo jiné</w:t>
      </w:r>
      <w:r>
        <w:t>:</w:t>
      </w:r>
    </w:p>
    <w:p w:rsidR="00C57F7E" w:rsidRDefault="00A00F9A" w:rsidP="0044189F">
      <w:pPr>
        <w:pStyle w:val="Odstavecseseznamem"/>
        <w:numPr>
          <w:ilvl w:val="0"/>
          <w:numId w:val="110"/>
        </w:numPr>
        <w:ind w:left="714" w:hanging="357"/>
        <w:jc w:val="both"/>
      </w:pPr>
      <w:r>
        <w:t xml:space="preserve">bezpečný provoz stávajících a nových bloků </w:t>
      </w:r>
      <w:r w:rsidR="005E762E">
        <w:t>jaderných elektráren (</w:t>
      </w:r>
      <w:r>
        <w:t>JE</w:t>
      </w:r>
      <w:r w:rsidR="005E762E">
        <w:t>)</w:t>
      </w:r>
      <w:r w:rsidR="003F2E34">
        <w:t>,</w:t>
      </w:r>
    </w:p>
    <w:p w:rsidR="00A00F9A" w:rsidRDefault="00A00F9A" w:rsidP="0044189F">
      <w:pPr>
        <w:pStyle w:val="Odstavecseseznamem"/>
        <w:numPr>
          <w:ilvl w:val="0"/>
          <w:numId w:val="110"/>
        </w:numPr>
        <w:ind w:left="714" w:hanging="357"/>
        <w:jc w:val="both"/>
      </w:pPr>
      <w:r>
        <w:t>zajištění celého palivového cyklu, včetně nakládání s vyhořelým jaderným palivem,</w:t>
      </w:r>
    </w:p>
    <w:p w:rsidR="00A00F9A" w:rsidRDefault="00A00F9A" w:rsidP="0044189F">
      <w:pPr>
        <w:pStyle w:val="Odstavecseseznamem"/>
        <w:numPr>
          <w:ilvl w:val="0"/>
          <w:numId w:val="110"/>
        </w:numPr>
        <w:ind w:left="714" w:hanging="357"/>
        <w:jc w:val="both"/>
      </w:pPr>
      <w:r>
        <w:t>dostatek a vhodnou vzdělanostní strukturu lidského kapitálu,</w:t>
      </w:r>
    </w:p>
    <w:p w:rsidR="00A00F9A" w:rsidRDefault="00A00F9A" w:rsidP="0044189F">
      <w:pPr>
        <w:pStyle w:val="Odstavecseseznamem"/>
        <w:numPr>
          <w:ilvl w:val="0"/>
          <w:numId w:val="110"/>
        </w:numPr>
        <w:ind w:left="714" w:hanging="357"/>
        <w:jc w:val="both"/>
      </w:pPr>
      <w:r>
        <w:t>vědu, výzkum a jejich aplikaci do praxe,</w:t>
      </w:r>
    </w:p>
    <w:p w:rsidR="00A00F9A" w:rsidRDefault="00A00F9A" w:rsidP="0044189F">
      <w:pPr>
        <w:pStyle w:val="Odstavecseseznamem"/>
        <w:numPr>
          <w:ilvl w:val="0"/>
          <w:numId w:val="110"/>
        </w:numPr>
        <w:ind w:left="714" w:hanging="357"/>
        <w:jc w:val="both"/>
      </w:pPr>
      <w:r>
        <w:t>průmyslovou základnu ČR pro potřeby jaderné energetiky, atd.</w:t>
      </w:r>
    </w:p>
    <w:p w:rsidR="006E27B7" w:rsidRPr="006E27B7" w:rsidRDefault="006E27B7" w:rsidP="006E27B7">
      <w:pPr>
        <w:jc w:val="both"/>
        <w:rPr>
          <w:szCs w:val="20"/>
        </w:rPr>
      </w:pPr>
      <w:r w:rsidRPr="006E27B7">
        <w:rPr>
          <w:szCs w:val="20"/>
        </w:rPr>
        <w:t>NAP JE by měl být vyhodnocován a dle potřeby aktualizován</w:t>
      </w:r>
      <w:r w:rsidR="002F7201">
        <w:rPr>
          <w:szCs w:val="20"/>
        </w:rPr>
        <w:t xml:space="preserve"> minimálně </w:t>
      </w:r>
      <w:r w:rsidRPr="006E27B7">
        <w:rPr>
          <w:szCs w:val="20"/>
        </w:rPr>
        <w:t xml:space="preserve">jednou za </w:t>
      </w:r>
      <w:r>
        <w:rPr>
          <w:szCs w:val="20"/>
        </w:rPr>
        <w:t>5</w:t>
      </w:r>
      <w:r w:rsidRPr="006E27B7">
        <w:rPr>
          <w:szCs w:val="20"/>
        </w:rPr>
        <w:t xml:space="preserve"> </w:t>
      </w:r>
      <w:r>
        <w:rPr>
          <w:szCs w:val="20"/>
        </w:rPr>
        <w:t>let</w:t>
      </w:r>
      <w:r w:rsidRPr="006E27B7">
        <w:rPr>
          <w:szCs w:val="20"/>
        </w:rPr>
        <w:t xml:space="preserve">. </w:t>
      </w:r>
      <w:r>
        <w:rPr>
          <w:szCs w:val="20"/>
        </w:rPr>
        <w:t>S</w:t>
      </w:r>
      <w:r w:rsidRPr="006E27B7">
        <w:rPr>
          <w:szCs w:val="20"/>
        </w:rPr>
        <w:t xml:space="preserve">chvaluje </w:t>
      </w:r>
      <w:r>
        <w:rPr>
          <w:szCs w:val="20"/>
        </w:rPr>
        <w:t xml:space="preserve">jej </w:t>
      </w:r>
      <w:r w:rsidRPr="006E27B7">
        <w:rPr>
          <w:szCs w:val="20"/>
        </w:rPr>
        <w:t xml:space="preserve">vláda a je dílčím </w:t>
      </w:r>
      <w:r w:rsidR="008D2EFA">
        <w:rPr>
          <w:szCs w:val="20"/>
        </w:rPr>
        <w:t xml:space="preserve">prováděcím </w:t>
      </w:r>
      <w:r w:rsidRPr="006E27B7">
        <w:rPr>
          <w:szCs w:val="20"/>
        </w:rPr>
        <w:t>plánem realizace Státní energetické koncepce pro oblast jaderné energetiky.</w:t>
      </w:r>
    </w:p>
    <w:p w:rsidR="00F62ADA" w:rsidRDefault="00F62ADA" w:rsidP="00A00F9A">
      <w:pPr>
        <w:jc w:val="both"/>
      </w:pPr>
      <w:r>
        <w:t>V sektoru jaderné energetiky tak vymezuje, jak bude naplněna priorita I SEK</w:t>
      </w:r>
      <w:r w:rsidR="00C53065">
        <w:rPr>
          <w:rStyle w:val="Znakapoznpodarou"/>
        </w:rPr>
        <w:footnoteReference w:id="3"/>
      </w:r>
      <w:r>
        <w:t xml:space="preserve"> pro vyvážený mix primárních energetických zdrojů i zdrojů výroby elektřiny, včetně udržování dostupných strategických rezerv a s ní související strategické cíle SEK:</w:t>
      </w:r>
    </w:p>
    <w:p w:rsidR="00F62ADA" w:rsidRPr="00F62ADA" w:rsidRDefault="00F62ADA" w:rsidP="0044189F">
      <w:pPr>
        <w:pStyle w:val="Odstavecseseznamem"/>
        <w:numPr>
          <w:ilvl w:val="0"/>
          <w:numId w:val="64"/>
        </w:numPr>
        <w:ind w:left="714" w:hanging="357"/>
        <w:jc w:val="both"/>
        <w:rPr>
          <w:rFonts w:cstheme="minorHAnsi"/>
        </w:rPr>
      </w:pPr>
      <w:r w:rsidRPr="00F62ADA">
        <w:rPr>
          <w:rFonts w:cstheme="minorHAnsi"/>
        </w:rPr>
        <w:t>Výroba z jádra postupně nahradí uhelnou energetiku v roli pilíře výroby elektřiny.</w:t>
      </w:r>
    </w:p>
    <w:p w:rsidR="009571EA" w:rsidRPr="009571EA" w:rsidRDefault="00F62ADA" w:rsidP="009571EA">
      <w:pPr>
        <w:pStyle w:val="Odstavecseseznamem"/>
        <w:numPr>
          <w:ilvl w:val="0"/>
          <w:numId w:val="64"/>
        </w:numPr>
        <w:tabs>
          <w:tab w:val="left" w:pos="1276"/>
          <w:tab w:val="left" w:pos="1418"/>
        </w:tabs>
        <w:spacing w:before="120" w:after="120"/>
        <w:ind w:left="714" w:hanging="357"/>
        <w:jc w:val="both"/>
        <w:rPr>
          <w:rFonts w:cstheme="minorHAnsi"/>
        </w:rPr>
      </w:pPr>
      <w:r w:rsidRPr="009571EA">
        <w:rPr>
          <w:rFonts w:cstheme="minorHAnsi"/>
        </w:rPr>
        <w:t>Posílení role jádra při výrobě elektřiny a maximální využití odpadního tepla z JE (výstavba 1-2 nových bloků JE v závislosti na predikci bilance výroby a spotřeby, dlouhodobé prodloužení provozu současných čtyř bloků v JE Dukovany a případná výstavba dalšího bloku v horizontu odstavování JE Dukovany, územní vymezení lokalit pro možný další rozvoj JE po roce 2040).</w:t>
      </w:r>
    </w:p>
    <w:p w:rsidR="00F62ADA" w:rsidRDefault="00F62ADA" w:rsidP="00013DB0">
      <w:pPr>
        <w:tabs>
          <w:tab w:val="left" w:pos="1276"/>
          <w:tab w:val="left" w:pos="1418"/>
        </w:tabs>
        <w:spacing w:before="120" w:after="120"/>
        <w:jc w:val="both"/>
        <w:rPr>
          <w:rFonts w:cstheme="minorHAnsi"/>
        </w:rPr>
      </w:pPr>
      <w:r>
        <w:rPr>
          <w:rFonts w:cstheme="minorHAnsi"/>
        </w:rPr>
        <w:t xml:space="preserve">Dále </w:t>
      </w:r>
      <w:r w:rsidR="008D2EFA">
        <w:rPr>
          <w:rFonts w:cstheme="minorHAnsi"/>
        </w:rPr>
        <w:t xml:space="preserve">NAP JE </w:t>
      </w:r>
      <w:r>
        <w:rPr>
          <w:rFonts w:cstheme="minorHAnsi"/>
        </w:rPr>
        <w:t>oslovuje prioritu II SEK, konkrétně oblast p</w:t>
      </w:r>
      <w:r w:rsidRPr="00F62ADA">
        <w:rPr>
          <w:rFonts w:cstheme="minorHAnsi"/>
        </w:rPr>
        <w:t>odpory výzkumu, vývoje a inovací zajišťující</w:t>
      </w:r>
      <w:r>
        <w:rPr>
          <w:rFonts w:cstheme="minorHAnsi"/>
        </w:rPr>
        <w:t>ch</w:t>
      </w:r>
      <w:r w:rsidRPr="00F62ADA">
        <w:rPr>
          <w:rFonts w:cstheme="minorHAnsi"/>
        </w:rPr>
        <w:t xml:space="preserve"> konkurenceschopnost české energetiky a podpor</w:t>
      </w:r>
      <w:r>
        <w:rPr>
          <w:rFonts w:cstheme="minorHAnsi"/>
        </w:rPr>
        <w:t>u</w:t>
      </w:r>
      <w:r w:rsidRPr="00F62ADA">
        <w:rPr>
          <w:rFonts w:cstheme="minorHAnsi"/>
        </w:rPr>
        <w:t xml:space="preserve"> školství, s cílem nutnosti generační obměny a</w:t>
      </w:r>
      <w:r w:rsidR="00013DB0">
        <w:rPr>
          <w:rFonts w:cstheme="minorHAnsi"/>
        </w:rPr>
        <w:t> </w:t>
      </w:r>
      <w:r w:rsidRPr="00F62ADA">
        <w:rPr>
          <w:rFonts w:cstheme="minorHAnsi"/>
        </w:rPr>
        <w:t>zlepšení kvality technické inteligence v oblasti energetiky.</w:t>
      </w:r>
    </w:p>
    <w:p w:rsidR="00FE676C" w:rsidRDefault="008D2EFA" w:rsidP="00F62ADA">
      <w:pPr>
        <w:tabs>
          <w:tab w:val="left" w:pos="1276"/>
          <w:tab w:val="left" w:pos="1418"/>
        </w:tabs>
        <w:spacing w:before="120" w:after="120" w:line="240" w:lineRule="auto"/>
        <w:jc w:val="both"/>
        <w:rPr>
          <w:rFonts w:cstheme="minorHAnsi"/>
        </w:rPr>
      </w:pPr>
      <w:r>
        <w:rPr>
          <w:rFonts w:cstheme="minorHAnsi"/>
        </w:rPr>
        <w:t>P</w:t>
      </w:r>
      <w:r w:rsidR="00FE676C">
        <w:rPr>
          <w:rFonts w:cstheme="minorHAnsi"/>
        </w:rPr>
        <w:t>ro oblast elektroenergetiky rozvíjí, jakým způsobem naplnit dílčí cíle pro oblast jaderné energetiky, tj.:</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Podporovat rozvoj jaderné energetiky jako jednoho z pilířů výroby elektřiny. S cílovým podílem jaderné energetiky na výrobě elektřiny okolo 50 % a s maximalizací dodávek tepla z</w:t>
      </w:r>
      <w:r w:rsidR="002B6E1A">
        <w:rPr>
          <w:rFonts w:ascii="Calibri" w:hAnsi="Calibri" w:cs="Calibri"/>
        </w:rPr>
        <w:t> </w:t>
      </w:r>
      <w:r w:rsidRPr="00013DB0">
        <w:rPr>
          <w:rFonts w:ascii="Calibri" w:hAnsi="Calibri" w:cs="Calibri"/>
        </w:rPr>
        <w:t>jaderných elektráren.</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 xml:space="preserve">Podpořit a urychlit proces projednávání, přípravy a realizace nových jaderných bloků </w:t>
      </w:r>
      <w:r w:rsidRPr="0092047B">
        <w:t xml:space="preserve">ve stávajících lokalitách jaderných elektráren </w:t>
      </w:r>
      <w:r w:rsidRPr="00013DB0">
        <w:rPr>
          <w:rFonts w:ascii="Calibri" w:hAnsi="Calibri" w:cs="Calibri"/>
        </w:rPr>
        <w:t xml:space="preserve">o celkovém výkonu do 2 500 MW, respektive roční výrobě ve výši cca 20 </w:t>
      </w:r>
      <w:proofErr w:type="spellStart"/>
      <w:r w:rsidRPr="00013DB0">
        <w:rPr>
          <w:rFonts w:ascii="Calibri" w:hAnsi="Calibri" w:cs="Calibri"/>
        </w:rPr>
        <w:t>TWh</w:t>
      </w:r>
      <w:proofErr w:type="spellEnd"/>
      <w:r w:rsidRPr="00013DB0">
        <w:rPr>
          <w:rFonts w:ascii="Calibri" w:hAnsi="Calibri" w:cs="Calibri"/>
        </w:rPr>
        <w:t xml:space="preserve"> v horizontu let 2030 – 2035 včetně nezbytných kroků mezinárodního projednávání.</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lastRenderedPageBreak/>
        <w:t>Vytvořit podmínky pro prodloužení životnosti elektrárny Dukovany na 50 let</w:t>
      </w:r>
      <w:r w:rsidR="008D2EFA">
        <w:rPr>
          <w:rStyle w:val="Znakapoznpodarou"/>
          <w:rFonts w:ascii="Calibri" w:hAnsi="Calibri" w:cs="Calibri"/>
        </w:rPr>
        <w:footnoteReference w:id="4"/>
      </w:r>
      <w:r w:rsidRPr="00013DB0">
        <w:rPr>
          <w:rFonts w:ascii="Calibri" w:hAnsi="Calibri" w:cs="Calibri"/>
        </w:rPr>
        <w:t xml:space="preserve"> </w:t>
      </w:r>
      <w:r w:rsidRPr="0092047B">
        <w:t>a bude-li to možné, až na 60 let (s ohledem na technologie, bezpečnost, ekonomiku a pravidla EU)</w:t>
      </w:r>
      <w:r w:rsidRPr="00013DB0">
        <w:rPr>
          <w:rFonts w:ascii="Calibri" w:hAnsi="Calibri" w:cs="Calibri"/>
        </w:rPr>
        <w:t>.</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Případnou výstavbu dalšího nového bloku</w:t>
      </w:r>
      <w:r w:rsidRPr="0092047B">
        <w:t xml:space="preserve"> ve stávajících lokalitách jaderných elektráren</w:t>
      </w:r>
      <w:r w:rsidRPr="00013DB0">
        <w:rPr>
          <w:rFonts w:ascii="Calibri" w:hAnsi="Calibri" w:cs="Calibri"/>
        </w:rPr>
        <w:t xml:space="preserve"> cílit kolem </w:t>
      </w:r>
      <w:r w:rsidR="00C62837">
        <w:rPr>
          <w:rFonts w:ascii="Calibri" w:hAnsi="Calibri" w:cs="Calibri"/>
        </w:rPr>
        <w:t>možného</w:t>
      </w:r>
      <w:r w:rsidR="00C62837" w:rsidRPr="00013DB0">
        <w:rPr>
          <w:rFonts w:ascii="Calibri" w:hAnsi="Calibri" w:cs="Calibri"/>
        </w:rPr>
        <w:t xml:space="preserve"> </w:t>
      </w:r>
      <w:r w:rsidRPr="00013DB0">
        <w:rPr>
          <w:rFonts w:ascii="Calibri" w:hAnsi="Calibri" w:cs="Calibri"/>
        </w:rPr>
        <w:t>odstavení EDU, tj. po roce 2035</w:t>
      </w:r>
      <w:r w:rsidR="00156615">
        <w:rPr>
          <w:rFonts w:ascii="Calibri" w:hAnsi="Calibri" w:cs="Calibri"/>
        </w:rPr>
        <w:t>,</w:t>
      </w:r>
      <w:r w:rsidRPr="00013DB0">
        <w:rPr>
          <w:rFonts w:ascii="Calibri" w:hAnsi="Calibri" w:cs="Calibri"/>
        </w:rPr>
        <w:t xml:space="preserve"> v závislosti na predikci bilance výroby a</w:t>
      </w:r>
      <w:r w:rsidR="002B6E1A">
        <w:rPr>
          <w:rFonts w:ascii="Calibri" w:hAnsi="Calibri" w:cs="Calibri"/>
        </w:rPr>
        <w:t> </w:t>
      </w:r>
      <w:r w:rsidRPr="00013DB0">
        <w:rPr>
          <w:rFonts w:ascii="Calibri" w:hAnsi="Calibri" w:cs="Calibri"/>
        </w:rPr>
        <w:t>spotřeby.</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Zajistit legislativní, administrativní a společenské podmínky pro vybudování a bezpečný a</w:t>
      </w:r>
      <w:r w:rsidR="002B6E1A">
        <w:rPr>
          <w:rFonts w:ascii="Calibri" w:hAnsi="Calibri" w:cs="Calibri"/>
        </w:rPr>
        <w:t> </w:t>
      </w:r>
      <w:r w:rsidRPr="00013DB0">
        <w:rPr>
          <w:rFonts w:ascii="Calibri" w:hAnsi="Calibri" w:cs="Calibri"/>
        </w:rPr>
        <w:t>dlouhodobý provoz úložišť radioaktivního odpadu a pravidla pro nakládání s vyhořelým palivem jako s potenciálně cennou druhotnou surovinou.</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Vyhledání a zajištění územní ochrany další vhodné lokality pro rozvoj jaderné energetiky.</w:t>
      </w:r>
    </w:p>
    <w:p w:rsidR="00FE676C" w:rsidRPr="00013DB0" w:rsidRDefault="00FE676C" w:rsidP="0044189F">
      <w:pPr>
        <w:pStyle w:val="Odstavecseseznamem"/>
        <w:numPr>
          <w:ilvl w:val="2"/>
          <w:numId w:val="111"/>
        </w:numPr>
        <w:spacing w:before="120" w:after="240"/>
        <w:ind w:left="709" w:hanging="357"/>
        <w:jc w:val="both"/>
        <w:rPr>
          <w:rFonts w:ascii="Calibri" w:hAnsi="Calibri" w:cs="Calibri"/>
        </w:rPr>
      </w:pPr>
      <w:r w:rsidRPr="00013DB0">
        <w:rPr>
          <w:rFonts w:ascii="Calibri" w:hAnsi="Calibri" w:cs="Calibri"/>
        </w:rPr>
        <w:t>Rozhodnutí o úložišti jaderného odpadu do roku 2025.</w:t>
      </w:r>
    </w:p>
    <w:p w:rsidR="00A00F9A" w:rsidRDefault="00E8519A" w:rsidP="00A00F9A">
      <w:pPr>
        <w:jc w:val="both"/>
      </w:pPr>
      <w:r>
        <w:t xml:space="preserve">Dokument NAP </w:t>
      </w:r>
      <w:proofErr w:type="gramStart"/>
      <w:r>
        <w:t>JE</w:t>
      </w:r>
      <w:proofErr w:type="gramEnd"/>
      <w:r>
        <w:t xml:space="preserve"> </w:t>
      </w:r>
      <w:proofErr w:type="spellStart"/>
      <w:r>
        <w:t>je</w:t>
      </w:r>
      <w:proofErr w:type="spellEnd"/>
      <w:r>
        <w:t xml:space="preserve"> zároveň plněním úkolu, který byl zadán</w:t>
      </w:r>
      <w:r w:rsidR="00A20041">
        <w:t xml:space="preserve"> </w:t>
      </w:r>
      <w:r w:rsidR="00A00F9A">
        <w:t xml:space="preserve">MPO a </w:t>
      </w:r>
      <w:r w:rsidR="008253B0">
        <w:t>Ministerstvu financí (</w:t>
      </w:r>
      <w:r w:rsidR="00A00F9A">
        <w:t>MF</w:t>
      </w:r>
      <w:r w:rsidR="008253B0">
        <w:t>)</w:t>
      </w:r>
      <w:r w:rsidR="00A00F9A">
        <w:t xml:space="preserve"> v usnesení vlády ČR č. 243 ze dne 9. dubna 2014.</w:t>
      </w:r>
      <w:r w:rsidR="00B104A9">
        <w:t xml:space="preserve"> Jeho cílem je zajistit, aby i při stávající nejisté situaci na trhu s elektrickou energií bylo umožněno v budoucnu pokračovat v dalším rozvoji jaderné energetiky, tj. aby nebyly učiněny nezvratné kroky, které by možnost výstavby dalších jaderných bloků </w:t>
      </w:r>
      <w:r w:rsidR="009F0FFB">
        <w:t xml:space="preserve">v ČR </w:t>
      </w:r>
      <w:r w:rsidR="00B104A9">
        <w:t>do budoucna znemožnily, případně aby nedošlo ke ztrátě klíčového know-how v oblasti lidských zdrojů a průmyslu.</w:t>
      </w:r>
    </w:p>
    <w:p w:rsidR="0021335C" w:rsidRPr="00C920CE" w:rsidRDefault="00FE676C" w:rsidP="0021335C">
      <w:pPr>
        <w:pStyle w:val="Odstavecseseznamem"/>
        <w:ind w:left="0"/>
        <w:contextualSpacing w:val="0"/>
        <w:jc w:val="both"/>
      </w:pPr>
      <w:r>
        <w:t xml:space="preserve">NAP JE vychází z poznání, </w:t>
      </w:r>
      <w:r w:rsidR="00B104A9">
        <w:t>ž</w:t>
      </w:r>
      <w:r>
        <w:t>e s</w:t>
      </w:r>
      <w:r w:rsidR="0021335C" w:rsidRPr="0021335C">
        <w:t xml:space="preserve">tát má </w:t>
      </w:r>
      <w:r w:rsidR="008D2EFA">
        <w:t>(</w:t>
      </w:r>
      <w:r w:rsidR="009F0FFB">
        <w:t>a do budoucna by si měl i nadále zachovat</w:t>
      </w:r>
      <w:r w:rsidR="008D2EFA">
        <w:t>, respektive posílit)</w:t>
      </w:r>
      <w:r w:rsidR="009F0FFB" w:rsidRPr="0021335C">
        <w:t xml:space="preserve"> </w:t>
      </w:r>
      <w:r w:rsidR="0021335C" w:rsidRPr="0021335C">
        <w:t>zcela zásadní roli v energetice obecně a v elektroenergetice a jaderné energetice zvlášť, a to zejména v kontextu privatizace a liber</w:t>
      </w:r>
      <w:r w:rsidR="00013DB0">
        <w:t xml:space="preserve">alizace energetických odvětví. </w:t>
      </w:r>
      <w:r w:rsidR="0021335C" w:rsidRPr="0021335C">
        <w:t>Ve státech</w:t>
      </w:r>
      <w:r w:rsidR="00071813">
        <w:t>,</w:t>
      </w:r>
      <w:r w:rsidR="0021335C" w:rsidRPr="0021335C">
        <w:t xml:space="preserve"> ve kterých je energetika centralizovaná a vlastněná státem, jsou nástroje přímé a jednodušší, neboť realizace energetické politiky je vykonávána jak právním rámcem tak přímo řízením energetiky. Tam, kde proběhla </w:t>
      </w:r>
      <w:r w:rsidR="00924504">
        <w:t xml:space="preserve">privatizace a </w:t>
      </w:r>
      <w:r w:rsidR="0021335C" w:rsidRPr="0021335C">
        <w:t>liberalizace energetického sektoru, musí být nástroje státu mnohem sofi</w:t>
      </w:r>
      <w:r w:rsidR="0021335C" w:rsidRPr="00617725">
        <w:rPr>
          <w:szCs w:val="20"/>
        </w:rPr>
        <w:t>stikovanější a</w:t>
      </w:r>
      <w:r w:rsidR="0021335C">
        <w:rPr>
          <w:szCs w:val="20"/>
        </w:rPr>
        <w:t> </w:t>
      </w:r>
      <w:r w:rsidR="0021335C" w:rsidRPr="00617725">
        <w:rPr>
          <w:szCs w:val="20"/>
        </w:rPr>
        <w:t>náročnější, neboť jejich působení je nepřímé, jejich účinek je vázán na působení řady vnějších faktorů které mohou účinnost nástrojů zesilovat i zeslabovat a v neposlední řadě se účinek dostaví obvykle se zpožděním oproti přímému řízení. Politiky a strategie státu tedy musí být mnohem předvídavější ve vztahu na působení vnějších i vnitřních podmínek dané země.</w:t>
      </w:r>
      <w:r w:rsidR="0021335C">
        <w:rPr>
          <w:szCs w:val="20"/>
        </w:rPr>
        <w:t xml:space="preserve"> </w:t>
      </w:r>
      <w:r w:rsidR="0021335C" w:rsidRPr="00C920CE">
        <w:t xml:space="preserve">Pokud není možné pomocí </w:t>
      </w:r>
      <w:r w:rsidR="0021335C">
        <w:t xml:space="preserve">tradičních legislativně-regulatorních </w:t>
      </w:r>
      <w:r w:rsidR="0021335C" w:rsidRPr="00C920CE">
        <w:t xml:space="preserve">nástrojů státu dosáhnout cílů energetické politiky, </w:t>
      </w:r>
      <w:r w:rsidR="0021335C">
        <w:t>lze uvažovat o větší míře angažovanosti státu při rozvoji zdrojů</w:t>
      </w:r>
      <w:r w:rsidR="0021335C" w:rsidRPr="00C920CE">
        <w:t>.</w:t>
      </w:r>
    </w:p>
    <w:p w:rsidR="0021335C" w:rsidRPr="00617725" w:rsidRDefault="0021335C" w:rsidP="0021335C">
      <w:pPr>
        <w:pStyle w:val="Odstavecseseznamem"/>
        <w:ind w:left="0"/>
        <w:contextualSpacing w:val="0"/>
        <w:jc w:val="both"/>
        <w:rPr>
          <w:szCs w:val="20"/>
        </w:rPr>
      </w:pPr>
      <w:r w:rsidRPr="00617725">
        <w:rPr>
          <w:szCs w:val="20"/>
        </w:rPr>
        <w:t>Nejdůležitější rolí státu je stanovit jasnou dlouhodobou politiku v oblasti hospodářství, energetiky a životního prostředí s odpovídající základnou v oblasti legislativy a institucionálního rámce. Politika a</w:t>
      </w:r>
      <w:r>
        <w:rPr>
          <w:szCs w:val="20"/>
        </w:rPr>
        <w:t> </w:t>
      </w:r>
      <w:r w:rsidRPr="00617725">
        <w:rPr>
          <w:szCs w:val="20"/>
        </w:rPr>
        <w:t>právní a institucionální rámec musí vytvářet dlouhodobé jasné a předvídatelné prostředí, transparentnost a rovnost podmínek a vytvořit dlouhodobou důvěru investorů ve stabilitu takového rámce. Pouze tak lze zajistit příliv privátního kapitálu do odvětví energetiky.</w:t>
      </w:r>
    </w:p>
    <w:p w:rsidR="0021335C" w:rsidRPr="00617725" w:rsidRDefault="0021335C" w:rsidP="0021335C">
      <w:pPr>
        <w:pStyle w:val="Odstavecseseznamem"/>
        <w:ind w:left="0"/>
        <w:contextualSpacing w:val="0"/>
        <w:jc w:val="both"/>
        <w:rPr>
          <w:szCs w:val="20"/>
        </w:rPr>
      </w:pPr>
      <w:r w:rsidRPr="00617725">
        <w:rPr>
          <w:szCs w:val="20"/>
        </w:rPr>
        <w:t xml:space="preserve">Jaderná energetika má přední místo mezi obory, ve kterých je nezastupitelná role státu, a to z důvodů dlouhodobosti jak při přípravě a výstavbě </w:t>
      </w:r>
      <w:r w:rsidRPr="007574C5">
        <w:rPr>
          <w:szCs w:val="20"/>
        </w:rPr>
        <w:t xml:space="preserve">jaderných zařízení, tak i při jejich provozu, nároků na státní dozor a kontrolní mechanismy a v neposlední řadě komplexnosti a přesahu na další obory i sféry státní ingerence (výzkum, školství). Jednotkové výkony zdrojů vyžadují provázanost s rozvojem přenosových sítí a nástroji řízení spolehlivosti a rovnováhy elektrizačního systému. Jaderný zdroj se vyznačuje </w:t>
      </w:r>
      <w:r w:rsidR="005F1372" w:rsidRPr="007574C5">
        <w:rPr>
          <w:szCs w:val="20"/>
        </w:rPr>
        <w:t>na jedné straně stabilními a nízkými výrobními náklady</w:t>
      </w:r>
      <w:r w:rsidR="00791F48">
        <w:rPr>
          <w:szCs w:val="20"/>
        </w:rPr>
        <w:t xml:space="preserve"> a dlouhou životností</w:t>
      </w:r>
      <w:r w:rsidR="005F1372" w:rsidRPr="007574C5">
        <w:rPr>
          <w:szCs w:val="20"/>
        </w:rPr>
        <w:t xml:space="preserve">, na druhé straně </w:t>
      </w:r>
      <w:r w:rsidRPr="007574C5">
        <w:rPr>
          <w:szCs w:val="20"/>
        </w:rPr>
        <w:t xml:space="preserve">extrémně vysokou kapitálovou náročností, a tím i dlouhou dobou návratnosti kapitálu. Životní cyklus jaderné elektrárny je </w:t>
      </w:r>
      <w:r w:rsidR="005F1372" w:rsidRPr="007574C5">
        <w:rPr>
          <w:szCs w:val="20"/>
        </w:rPr>
        <w:t xml:space="preserve">přibližně </w:t>
      </w:r>
      <w:r w:rsidRPr="007574C5">
        <w:rPr>
          <w:szCs w:val="20"/>
        </w:rPr>
        <w:t>100 let (</w:t>
      </w:r>
      <w:r w:rsidR="001A0483" w:rsidRPr="007574C5">
        <w:rPr>
          <w:szCs w:val="20"/>
        </w:rPr>
        <w:t xml:space="preserve">příprava a </w:t>
      </w:r>
      <w:r w:rsidRPr="007574C5">
        <w:rPr>
          <w:szCs w:val="20"/>
        </w:rPr>
        <w:t xml:space="preserve">výstavba </w:t>
      </w:r>
      <w:r w:rsidR="001A0483" w:rsidRPr="007574C5">
        <w:rPr>
          <w:szCs w:val="20"/>
        </w:rPr>
        <w:t>15 – 20 let</w:t>
      </w:r>
      <w:r w:rsidRPr="007574C5">
        <w:rPr>
          <w:szCs w:val="20"/>
        </w:rPr>
        <w:t xml:space="preserve">, provoz </w:t>
      </w:r>
      <w:r w:rsidR="005F1372" w:rsidRPr="007574C5">
        <w:rPr>
          <w:szCs w:val="20"/>
        </w:rPr>
        <w:t xml:space="preserve">bloku nové </w:t>
      </w:r>
      <w:r w:rsidR="005F1372" w:rsidRPr="007574C5">
        <w:rPr>
          <w:szCs w:val="20"/>
        </w:rPr>
        <w:lastRenderedPageBreak/>
        <w:t xml:space="preserve">generace </w:t>
      </w:r>
      <w:r w:rsidR="00924504" w:rsidRPr="007574C5">
        <w:rPr>
          <w:szCs w:val="20"/>
        </w:rPr>
        <w:t xml:space="preserve"> 60</w:t>
      </w:r>
      <w:r w:rsidR="001027D8">
        <w:rPr>
          <w:szCs w:val="20"/>
        </w:rPr>
        <w:t>-</w:t>
      </w:r>
      <w:r w:rsidR="005F1372" w:rsidRPr="007574C5">
        <w:rPr>
          <w:szCs w:val="20"/>
        </w:rPr>
        <w:t>80</w:t>
      </w:r>
      <w:r w:rsidRPr="007574C5">
        <w:rPr>
          <w:szCs w:val="20"/>
        </w:rPr>
        <w:t xml:space="preserve"> let a vyřazování z provozu 20 let) a potřebné infrastruktury ještě delší (rozhodnutí o</w:t>
      </w:r>
      <w:r w:rsidR="00E963D2">
        <w:rPr>
          <w:szCs w:val="20"/>
        </w:rPr>
        <w:t> </w:t>
      </w:r>
      <w:r w:rsidRPr="007574C5">
        <w:rPr>
          <w:szCs w:val="20"/>
        </w:rPr>
        <w:t>konci palivového cyklu a výstavba a provoz hlubinného úložiště).</w:t>
      </w:r>
    </w:p>
    <w:p w:rsidR="0021335C" w:rsidRPr="00617725" w:rsidRDefault="0021335C" w:rsidP="0021335C">
      <w:pPr>
        <w:pStyle w:val="Odstavecseseznamem"/>
        <w:ind w:left="0"/>
        <w:contextualSpacing w:val="0"/>
        <w:jc w:val="both"/>
        <w:rPr>
          <w:szCs w:val="20"/>
        </w:rPr>
      </w:pPr>
      <w:r w:rsidRPr="00617725">
        <w:rPr>
          <w:szCs w:val="20"/>
        </w:rPr>
        <w:t xml:space="preserve">Orientace na jadernou energetiku je </w:t>
      </w:r>
      <w:r>
        <w:rPr>
          <w:szCs w:val="20"/>
        </w:rPr>
        <w:t xml:space="preserve">tudíž </w:t>
      </w:r>
      <w:r w:rsidRPr="00617725">
        <w:rPr>
          <w:szCs w:val="20"/>
        </w:rPr>
        <w:t xml:space="preserve">strategickou volbou státu, která </w:t>
      </w:r>
      <w:r w:rsidR="00924504">
        <w:rPr>
          <w:szCs w:val="20"/>
        </w:rPr>
        <w:t xml:space="preserve">- </w:t>
      </w:r>
      <w:r w:rsidRPr="00617725">
        <w:rPr>
          <w:szCs w:val="20"/>
        </w:rPr>
        <w:t xml:space="preserve">pokud je učiněna </w:t>
      </w:r>
      <w:r w:rsidR="00924504">
        <w:rPr>
          <w:szCs w:val="20"/>
        </w:rPr>
        <w:t xml:space="preserve">- </w:t>
      </w:r>
      <w:r w:rsidRPr="00617725">
        <w:rPr>
          <w:szCs w:val="20"/>
        </w:rPr>
        <w:t>znamená dlouhodobý závazek a vedoucí roli státu ve vytváření stabilních podmínek. Stabilním komplexním a</w:t>
      </w:r>
      <w:r w:rsidRPr="00617725">
        <w:rPr>
          <w:sz w:val="24"/>
        </w:rPr>
        <w:t> </w:t>
      </w:r>
      <w:r w:rsidRPr="00617725">
        <w:rPr>
          <w:szCs w:val="20"/>
        </w:rPr>
        <w:t xml:space="preserve">dlouhodobým rámcem může stát zásadně omezit regulatorní rizika a snížit požadavky privátního kapitálu na jeho výnosnost, které hrají významnou roli v celkových nákladech výroby z jádra. </w:t>
      </w:r>
    </w:p>
    <w:p w:rsidR="0021335C" w:rsidRDefault="0021335C" w:rsidP="0021335C">
      <w:pPr>
        <w:pStyle w:val="Odstavecseseznamem"/>
        <w:ind w:left="0"/>
        <w:contextualSpacing w:val="0"/>
        <w:jc w:val="both"/>
        <w:rPr>
          <w:b/>
          <w:szCs w:val="20"/>
        </w:rPr>
      </w:pPr>
      <w:r w:rsidRPr="00157840">
        <w:rPr>
          <w:b/>
          <w:szCs w:val="20"/>
        </w:rPr>
        <w:t>Základem rámce</w:t>
      </w:r>
      <w:r w:rsidR="00924504">
        <w:rPr>
          <w:b/>
          <w:szCs w:val="20"/>
        </w:rPr>
        <w:t xml:space="preserve"> využívání jaderné energie</w:t>
      </w:r>
      <w:r w:rsidRPr="00157840">
        <w:rPr>
          <w:b/>
          <w:szCs w:val="20"/>
        </w:rPr>
        <w:t xml:space="preserve"> je, v souladu s doporučeními </w:t>
      </w:r>
      <w:r w:rsidR="00A906D8" w:rsidRPr="00A906D8">
        <w:rPr>
          <w:b/>
          <w:szCs w:val="20"/>
        </w:rPr>
        <w:t>Mezinárodní agentur</w:t>
      </w:r>
      <w:r w:rsidR="00A906D8">
        <w:rPr>
          <w:b/>
          <w:szCs w:val="20"/>
        </w:rPr>
        <w:t>y</w:t>
      </w:r>
      <w:r w:rsidR="00A906D8" w:rsidRPr="00A906D8">
        <w:rPr>
          <w:b/>
          <w:szCs w:val="20"/>
        </w:rPr>
        <w:t xml:space="preserve"> pro atomovou energii </w:t>
      </w:r>
      <w:r w:rsidR="00A906D8">
        <w:rPr>
          <w:b/>
          <w:szCs w:val="20"/>
        </w:rPr>
        <w:t>(</w:t>
      </w:r>
      <w:r w:rsidRPr="00157840">
        <w:rPr>
          <w:b/>
          <w:szCs w:val="20"/>
        </w:rPr>
        <w:t>MAAE</w:t>
      </w:r>
      <w:r w:rsidR="00A906D8">
        <w:rPr>
          <w:b/>
          <w:szCs w:val="20"/>
        </w:rPr>
        <w:t>)</w:t>
      </w:r>
      <w:r w:rsidRPr="00157840">
        <w:rPr>
          <w:rStyle w:val="Znakapoznpodarou"/>
        </w:rPr>
        <w:footnoteReference w:id="5"/>
      </w:r>
      <w:r w:rsidRPr="00157840">
        <w:rPr>
          <w:b/>
          <w:szCs w:val="20"/>
        </w:rPr>
        <w:t xml:space="preserve">, jasná </w:t>
      </w:r>
      <w:r w:rsidRPr="00157840">
        <w:rPr>
          <w:b/>
        </w:rPr>
        <w:t>dlouhodobá a stabilní</w:t>
      </w:r>
      <w:r w:rsidRPr="00157840">
        <w:rPr>
          <w:b/>
          <w:szCs w:val="20"/>
        </w:rPr>
        <w:t xml:space="preserve"> energetická strategie, zejména s dlouhodobou strategií v segmentu jaderné energetiky (stojící na třech segmentech</w:t>
      </w:r>
      <w:r w:rsidR="007D3F38">
        <w:rPr>
          <w:b/>
          <w:szCs w:val="20"/>
        </w:rPr>
        <w:t>:</w:t>
      </w:r>
      <w:r w:rsidR="007D3F38" w:rsidRPr="00157840">
        <w:rPr>
          <w:b/>
          <w:szCs w:val="20"/>
        </w:rPr>
        <w:t xml:space="preserve"> </w:t>
      </w:r>
      <w:r w:rsidRPr="00157840">
        <w:rPr>
          <w:b/>
          <w:szCs w:val="20"/>
        </w:rPr>
        <w:t>roli státu, roli nezávislého dozoru a vlastníka/provozovatele jaderných elektráren), přijatá státem, akceptovaná napříč politickým spektrem a naplňovaná, včetně jasného ztotožnění všech subjektů (státu, průmyslu a ostatních „</w:t>
      </w:r>
      <w:proofErr w:type="spellStart"/>
      <w:r w:rsidRPr="00157840">
        <w:rPr>
          <w:b/>
          <w:szCs w:val="20"/>
        </w:rPr>
        <w:t>stakehold</w:t>
      </w:r>
      <w:r w:rsidR="005F1372">
        <w:rPr>
          <w:b/>
          <w:szCs w:val="20"/>
        </w:rPr>
        <w:t>e</w:t>
      </w:r>
      <w:r w:rsidRPr="00157840">
        <w:rPr>
          <w:b/>
          <w:szCs w:val="20"/>
        </w:rPr>
        <w:t>rů</w:t>
      </w:r>
      <w:proofErr w:type="spellEnd"/>
      <w:r w:rsidRPr="00157840">
        <w:rPr>
          <w:b/>
          <w:szCs w:val="20"/>
        </w:rPr>
        <w:t>“) s přijatou strategií. Legislativní rámec a výkon státní správy pak musí naplňovat ve všech aspektech tuto strategii a</w:t>
      </w:r>
      <w:r>
        <w:rPr>
          <w:b/>
          <w:szCs w:val="20"/>
        </w:rPr>
        <w:t> </w:t>
      </w:r>
      <w:r w:rsidRPr="00157840">
        <w:rPr>
          <w:b/>
          <w:szCs w:val="20"/>
        </w:rPr>
        <w:t>vytvářet prostředí, které nepředstavuje riziko zvratu a zmaření investic pro investory vstupující do tohoto odvětví za podmínek stanovených tímto rámcem.</w:t>
      </w:r>
    </w:p>
    <w:p w:rsidR="0021335C" w:rsidRPr="00157840" w:rsidRDefault="0021335C" w:rsidP="0021335C">
      <w:pPr>
        <w:pStyle w:val="Odstavecseseznamem"/>
        <w:ind w:left="0"/>
        <w:contextualSpacing w:val="0"/>
        <w:jc w:val="both"/>
        <w:rPr>
          <w:b/>
          <w:szCs w:val="20"/>
        </w:rPr>
      </w:pPr>
      <w:r w:rsidRPr="00D26BE5">
        <w:rPr>
          <w:szCs w:val="20"/>
        </w:rPr>
        <w:t>Využívání jaderné energie nebylo a není možné bez mezinárodní spolupráce a pro ČR to platí obzvláště.</w:t>
      </w:r>
      <w:r>
        <w:rPr>
          <w:b/>
          <w:szCs w:val="20"/>
        </w:rPr>
        <w:t xml:space="preserve"> Vize rozvoje jaderné energetiky v ČR </w:t>
      </w:r>
      <w:r w:rsidR="00D26BE5">
        <w:rPr>
          <w:b/>
          <w:szCs w:val="20"/>
        </w:rPr>
        <w:t>vychází</w:t>
      </w:r>
      <w:r>
        <w:rPr>
          <w:b/>
          <w:szCs w:val="20"/>
        </w:rPr>
        <w:t xml:space="preserve"> z nutnosti dlouhodobé mezinárodní spolupráce a anticipací geopolitických změn v průběhu dalšího století, ukotvení musí být tedy dostatečné robustní, aby bylo stabilní v dnešní stále méně stabilní mezinárodní situac</w:t>
      </w:r>
      <w:r w:rsidR="00D26BE5">
        <w:rPr>
          <w:b/>
          <w:szCs w:val="20"/>
        </w:rPr>
        <w:t>i</w:t>
      </w:r>
      <w:r>
        <w:rPr>
          <w:b/>
          <w:szCs w:val="20"/>
        </w:rPr>
        <w:t>.</w:t>
      </w:r>
    </w:p>
    <w:p w:rsidR="0021335C" w:rsidRPr="00617725" w:rsidRDefault="0021335C" w:rsidP="0021335C">
      <w:pPr>
        <w:pStyle w:val="Odstavecseseznamem"/>
        <w:ind w:left="0"/>
        <w:contextualSpacing w:val="0"/>
        <w:jc w:val="both"/>
        <w:rPr>
          <w:szCs w:val="20"/>
        </w:rPr>
      </w:pPr>
      <w:r w:rsidRPr="00D26BE5">
        <w:rPr>
          <w:b/>
          <w:szCs w:val="20"/>
        </w:rPr>
        <w:t>Regulace v oblasti jaderné bezpečnosti zůstává klíčovou rolí státu</w:t>
      </w:r>
      <w:r w:rsidRPr="00617725">
        <w:rPr>
          <w:szCs w:val="20"/>
        </w:rPr>
        <w:t>. Stát musí zajistit silnou a nezávislou regulační autoritu vybavenou dostatečnými kompetencemi s dostatečnými finančními zdroji a odborným zázemím. Regulační autorita musí být připravena zajistit jak dozor nad provozovanými jadernými zařízeními a nakládáním s jaderným materiálem včetně ukládání radioaktivního odpadu, tak i zajistit povolovací procesy v případě nových jaderných zdrojů, zařízení pro nakládání s jaderným odpadem i prodloužení životnosti existujících zařízení</w:t>
      </w:r>
      <w:r>
        <w:rPr>
          <w:sz w:val="20"/>
          <w:szCs w:val="20"/>
        </w:rPr>
        <w:t xml:space="preserve"> </w:t>
      </w:r>
      <w:r w:rsidRPr="00075154">
        <w:t>a vyřazování jadern</w:t>
      </w:r>
      <w:r w:rsidR="00D26BE5">
        <w:t>ých</w:t>
      </w:r>
      <w:r w:rsidRPr="00075154">
        <w:t xml:space="preserve"> zdrojů po ukončení provozu.</w:t>
      </w:r>
      <w:r w:rsidRPr="00617725">
        <w:rPr>
          <w:szCs w:val="20"/>
        </w:rPr>
        <w:t xml:space="preserve"> Legislativa musí stanovovat vysoké požadavky na jadernou bezpečnost odpovídající mezinárodním standardům a</w:t>
      </w:r>
      <w:r>
        <w:rPr>
          <w:szCs w:val="20"/>
        </w:rPr>
        <w:t> </w:t>
      </w:r>
      <w:r w:rsidRPr="00617725">
        <w:rPr>
          <w:szCs w:val="20"/>
        </w:rPr>
        <w:t xml:space="preserve">regulační autorita </w:t>
      </w:r>
      <w:r w:rsidR="00013DB0">
        <w:rPr>
          <w:szCs w:val="20"/>
        </w:rPr>
        <w:t xml:space="preserve">musí zároveň </w:t>
      </w:r>
      <w:r w:rsidRPr="00617725">
        <w:rPr>
          <w:szCs w:val="20"/>
        </w:rPr>
        <w:t>nekompromisně vynucovat plnění těchto standardů.</w:t>
      </w:r>
    </w:p>
    <w:p w:rsidR="00E963D2" w:rsidRDefault="0021335C" w:rsidP="0021335C">
      <w:pPr>
        <w:pStyle w:val="Odstavecseseznamem"/>
        <w:ind w:left="0"/>
        <w:contextualSpacing w:val="0"/>
        <w:jc w:val="both"/>
        <w:rPr>
          <w:szCs w:val="20"/>
        </w:rPr>
      </w:pPr>
      <w:r>
        <w:rPr>
          <w:szCs w:val="20"/>
        </w:rPr>
        <w:t xml:space="preserve">Nezastupitelná je též </w:t>
      </w:r>
      <w:r w:rsidRPr="00D26BE5">
        <w:rPr>
          <w:b/>
          <w:szCs w:val="20"/>
        </w:rPr>
        <w:t>role státu v zajištění dlouhodobě udržitelné infrastruktury potřebné pro výstavbu, dlouhodobý bezpečný provoz a vyřazování z provozu jaderných zařízení</w:t>
      </w:r>
      <w:r>
        <w:rPr>
          <w:szCs w:val="20"/>
        </w:rPr>
        <w:t xml:space="preserve">. Infrastruktura zahrnuje celou řadu oblastí včetně mezinárodních závazků, ukládání radioaktivních odpadů, zajištění spolehlivých služeb v oblasti palivového cyklu, dlouhodobě udržitelného průmyslu, souvisejícího výzkumu, výchovy a vzdělávání apod. Ucelený pohled na roli státu a potřebnou infrastrukturu podává řada návodů a doporučení MAAE, včetně případných misí na hodnocení jejího zajištění. </w:t>
      </w:r>
    </w:p>
    <w:p w:rsidR="00E963D2" w:rsidRDefault="00E963D2">
      <w:pPr>
        <w:rPr>
          <w:szCs w:val="20"/>
        </w:rPr>
      </w:pPr>
      <w:r>
        <w:rPr>
          <w:szCs w:val="20"/>
        </w:rPr>
        <w:br w:type="page"/>
      </w:r>
    </w:p>
    <w:p w:rsidR="0021335C" w:rsidRPr="00617725" w:rsidRDefault="0021335C" w:rsidP="0021335C">
      <w:pPr>
        <w:pStyle w:val="Odstavecseseznamem"/>
        <w:ind w:left="0"/>
        <w:contextualSpacing w:val="0"/>
        <w:jc w:val="both"/>
        <w:rPr>
          <w:szCs w:val="20"/>
        </w:rPr>
      </w:pPr>
      <w:r w:rsidRPr="00617725">
        <w:rPr>
          <w:szCs w:val="20"/>
        </w:rPr>
        <w:lastRenderedPageBreak/>
        <w:t xml:space="preserve">Důležitá je </w:t>
      </w:r>
      <w:r w:rsidRPr="00D26BE5">
        <w:rPr>
          <w:b/>
          <w:szCs w:val="20"/>
        </w:rPr>
        <w:t>role státu v oblasti ukládání jaderného odpadu všech kategorií</w:t>
      </w:r>
      <w:r w:rsidR="00F811FF" w:rsidRPr="00D26BE5">
        <w:rPr>
          <w:b/>
          <w:szCs w:val="20"/>
        </w:rPr>
        <w:t>,</w:t>
      </w:r>
      <w:r w:rsidRPr="00D26BE5">
        <w:rPr>
          <w:b/>
          <w:szCs w:val="20"/>
        </w:rPr>
        <w:t xml:space="preserve"> a to jak z jaderné energetiky tak i jaderného výzkumu, medicíny a průmyslu</w:t>
      </w:r>
      <w:r w:rsidRPr="00617725">
        <w:rPr>
          <w:szCs w:val="20"/>
        </w:rPr>
        <w:t xml:space="preserve">. S ohledem na dlouhodobost </w:t>
      </w:r>
      <w:r>
        <w:rPr>
          <w:szCs w:val="20"/>
        </w:rPr>
        <w:t>ukládání</w:t>
      </w:r>
      <w:r w:rsidRPr="00617725">
        <w:rPr>
          <w:szCs w:val="20"/>
        </w:rPr>
        <w:t xml:space="preserve"> nemůže tuto roli </w:t>
      </w:r>
      <w:r>
        <w:rPr>
          <w:szCs w:val="20"/>
        </w:rPr>
        <w:t>v celém rozsahu nahradit</w:t>
      </w:r>
      <w:r w:rsidRPr="00617725">
        <w:rPr>
          <w:szCs w:val="20"/>
        </w:rPr>
        <w:t xml:space="preserve"> komerční subjekt. Stát zajišťuje bezpečnost a dlouhodobé ukládání všech druhů radioaktivního odpadu a zajišťuje vytváření prostředků na pokrytí budoucích nákladů spojených s likvidací jaderných zařízení a bezpečným uklá</w:t>
      </w:r>
      <w:r w:rsidR="00C223D0">
        <w:rPr>
          <w:szCs w:val="20"/>
        </w:rPr>
        <w:t>dáním odpadů.</w:t>
      </w:r>
    </w:p>
    <w:p w:rsidR="0021335C" w:rsidRPr="00617725" w:rsidRDefault="0021335C" w:rsidP="0021335C">
      <w:pPr>
        <w:pStyle w:val="Odstavecseseznamem"/>
        <w:ind w:left="0"/>
        <w:contextualSpacing w:val="0"/>
        <w:jc w:val="both"/>
        <w:rPr>
          <w:szCs w:val="20"/>
        </w:rPr>
      </w:pPr>
      <w:r w:rsidRPr="00D26BE5">
        <w:rPr>
          <w:b/>
          <w:szCs w:val="20"/>
        </w:rPr>
        <w:t>Výzkum v oblasti jaderné energetiky</w:t>
      </w:r>
      <w:r w:rsidRPr="00617725">
        <w:rPr>
          <w:szCs w:val="20"/>
        </w:rPr>
        <w:t xml:space="preserve"> je rozsáhlý, finančně extrémně náročný a přesahující možnosti většiny jednotlivých států. Navíc jeho výstupy slouží nejen pro jadernou energetiku, ale i pro řadu dalších oborů včetně základního výzkumu. Proto je prováděn v řadě mezinárodních konsorcií v rámci mezinárodních projektů a úmluv. I když participaci v těchto projektech mají soukromé subjekty, vrcholová koordinace účasti, smluvního rámce i financování musí být zajišťována státem, včetně řady bilaterálních mezistátních aktivit.</w:t>
      </w:r>
    </w:p>
    <w:p w:rsidR="0021335C" w:rsidRPr="00617725" w:rsidRDefault="0021335C" w:rsidP="0021335C">
      <w:pPr>
        <w:pStyle w:val="Odstavecseseznamem"/>
        <w:ind w:left="0"/>
        <w:contextualSpacing w:val="0"/>
        <w:jc w:val="both"/>
        <w:rPr>
          <w:szCs w:val="20"/>
        </w:rPr>
      </w:pPr>
      <w:r w:rsidRPr="00D26BE5">
        <w:rPr>
          <w:b/>
          <w:szCs w:val="20"/>
        </w:rPr>
        <w:t>Role státu je zcela zásadní ve školství a vzdělávání.</w:t>
      </w:r>
      <w:r w:rsidRPr="00617725">
        <w:rPr>
          <w:szCs w:val="20"/>
        </w:rPr>
        <w:t xml:space="preserve"> Ve vysoce specializovaných oborech</w:t>
      </w:r>
      <w:r w:rsidR="001027D8">
        <w:rPr>
          <w:szCs w:val="20"/>
        </w:rPr>
        <w:t>,</w:t>
      </w:r>
      <w:r w:rsidRPr="00617725">
        <w:rPr>
          <w:szCs w:val="20"/>
        </w:rPr>
        <w:t xml:space="preserve"> jako je jaderná fyzika a řada technických oborů nezbytných pro jadernou energetiku</w:t>
      </w:r>
      <w:r>
        <w:rPr>
          <w:szCs w:val="20"/>
        </w:rPr>
        <w:t>,</w:t>
      </w:r>
      <w:r w:rsidRPr="00617725">
        <w:rPr>
          <w:szCs w:val="20"/>
        </w:rPr>
        <w:t xml:space="preserve"> trvá výchova specialisty i více než 10 let. Stát proto musí zajistit nejen základní rámec pro technické školství od financování po zajištění kvality výuky, ale zajistit i dostatečnou kapacitu příslušných oborů a množství a kvalitu absolventů odpovídající potřebám budoucího rozvoje, tedy i určitou míru plánování potřeb s ohledem na dlouhodobou energetickou strategii, demografický vývoj a vnější faktory včetně odlivu mozků, profesního vývoje a změn na trhu práce.</w:t>
      </w:r>
    </w:p>
    <w:p w:rsidR="0021335C" w:rsidRDefault="0021335C" w:rsidP="0021335C">
      <w:pPr>
        <w:pStyle w:val="Odstavecseseznamem"/>
        <w:ind w:left="0"/>
        <w:contextualSpacing w:val="0"/>
        <w:jc w:val="both"/>
        <w:rPr>
          <w:szCs w:val="20"/>
        </w:rPr>
      </w:pPr>
      <w:r w:rsidRPr="006677BF">
        <w:rPr>
          <w:szCs w:val="20"/>
        </w:rPr>
        <w:t xml:space="preserve">Nedílnou součástí jaderné </w:t>
      </w:r>
      <w:r w:rsidR="00D26BE5">
        <w:rPr>
          <w:szCs w:val="20"/>
        </w:rPr>
        <w:t>energetiky</w:t>
      </w:r>
      <w:r w:rsidRPr="006677BF">
        <w:rPr>
          <w:szCs w:val="20"/>
        </w:rPr>
        <w:t xml:space="preserve"> je i </w:t>
      </w:r>
      <w:r w:rsidRPr="007D3F38">
        <w:rPr>
          <w:b/>
          <w:szCs w:val="20"/>
        </w:rPr>
        <w:t>přijatelnost veřejností</w:t>
      </w:r>
      <w:r w:rsidRPr="006677BF">
        <w:rPr>
          <w:szCs w:val="20"/>
        </w:rPr>
        <w:t xml:space="preserve">. Pokud stát </w:t>
      </w:r>
      <w:r w:rsidR="00D26BE5">
        <w:rPr>
          <w:szCs w:val="20"/>
        </w:rPr>
        <w:t>hodlá i nadále stavět nové jaderné zdroje</w:t>
      </w:r>
      <w:r w:rsidRPr="006677BF">
        <w:rPr>
          <w:szCs w:val="20"/>
        </w:rPr>
        <w:t>, musí být připraven dlouhodobě otevřeně komunikovat všechny aspekty s obyvateli, věnovat pozornost transparentnosti všech postupů a chování všech klíčových aktérů a</w:t>
      </w:r>
      <w:r w:rsidR="00E963D2">
        <w:rPr>
          <w:szCs w:val="20"/>
        </w:rPr>
        <w:t> </w:t>
      </w:r>
      <w:r w:rsidRPr="006677BF">
        <w:rPr>
          <w:szCs w:val="20"/>
        </w:rPr>
        <w:t>cílevědomě udržovat důvěryhodnost tohoto oboru. Součástí transparentnosti je i pravidelný reporting o stavu jaderné energetiky.</w:t>
      </w:r>
    </w:p>
    <w:p w:rsidR="0021335C" w:rsidRDefault="0021335C" w:rsidP="0021335C">
      <w:pPr>
        <w:pStyle w:val="Odstavecseseznamem"/>
        <w:ind w:left="0"/>
        <w:contextualSpacing w:val="0"/>
        <w:jc w:val="both"/>
        <w:rPr>
          <w:szCs w:val="20"/>
        </w:rPr>
      </w:pPr>
      <w:r w:rsidRPr="00157840">
        <w:rPr>
          <w:szCs w:val="20"/>
        </w:rPr>
        <w:t xml:space="preserve">Bezpečný a spolehlivý provoz jaderných elektráren se neobejde bez kvalitní inženýrské a technické podpory a kvalitních služeb dodavatelského systému během provozu. Mezinárodní závazky v oblasti ručení za jaderné škody činí jednoznačně odpovědným za jadernou bezpečnost provozovatele jaderného zařízení. Tato zodpovědnost nemůže být smluvně přenesena na dodavatele jaderného zařízení, proto je nanejvýš důležité, aby v průběhu výstavby JE nebo jiného jaderného zařízení došlo k plnému transferu </w:t>
      </w:r>
      <w:r w:rsidR="00AE7C5D">
        <w:rPr>
          <w:i/>
          <w:szCs w:val="20"/>
        </w:rPr>
        <w:t>know-</w:t>
      </w:r>
      <w:r w:rsidRPr="0021335C">
        <w:rPr>
          <w:i/>
          <w:szCs w:val="20"/>
        </w:rPr>
        <w:t>how</w:t>
      </w:r>
      <w:r w:rsidRPr="00157840">
        <w:rPr>
          <w:szCs w:val="20"/>
        </w:rPr>
        <w:t xml:space="preserve"> a </w:t>
      </w:r>
      <w:proofErr w:type="spellStart"/>
      <w:r w:rsidR="00AE7C5D">
        <w:rPr>
          <w:i/>
          <w:szCs w:val="20"/>
        </w:rPr>
        <w:t>know-</w:t>
      </w:r>
      <w:r w:rsidRPr="0021335C">
        <w:rPr>
          <w:i/>
          <w:szCs w:val="20"/>
        </w:rPr>
        <w:t>why</w:t>
      </w:r>
      <w:proofErr w:type="spellEnd"/>
      <w:r w:rsidRPr="00157840">
        <w:rPr>
          <w:szCs w:val="20"/>
        </w:rPr>
        <w:t xml:space="preserve"> na organizaci provozovatele. Určité záruky státu v této oblasti vyžadují, aby nezávislý dozor nad jadernou bezpečností včas indikoval případné nedostatky v této oblasti, a nemuselo dojít drastickým opatřením s nežádoucími ekonomickými dopady.</w:t>
      </w:r>
    </w:p>
    <w:p w:rsidR="0021335C" w:rsidRPr="00EC0DB9" w:rsidRDefault="0021335C" w:rsidP="0021335C">
      <w:pPr>
        <w:pStyle w:val="Odstavecseseznamem"/>
        <w:ind w:left="0"/>
        <w:contextualSpacing w:val="0"/>
        <w:jc w:val="both"/>
        <w:rPr>
          <w:b/>
          <w:szCs w:val="20"/>
        </w:rPr>
      </w:pPr>
      <w:r w:rsidRPr="00EC0DB9">
        <w:rPr>
          <w:b/>
          <w:szCs w:val="20"/>
        </w:rPr>
        <w:t>Česká republika budovala svou jadernou energetiku v rámci Československa od poloviny 50. let. Změna politického systému, rozdělení Československa, změna geopolitické situace</w:t>
      </w:r>
      <w:r>
        <w:rPr>
          <w:b/>
          <w:szCs w:val="20"/>
        </w:rPr>
        <w:t>,</w:t>
      </w:r>
      <w:r w:rsidRPr="00EC0DB9">
        <w:rPr>
          <w:b/>
          <w:szCs w:val="20"/>
        </w:rPr>
        <w:t xml:space="preserve"> přechod k tržnímu hospodářství</w:t>
      </w:r>
      <w:r>
        <w:rPr>
          <w:b/>
          <w:szCs w:val="20"/>
        </w:rPr>
        <w:t>, vstup do NATO, EU</w:t>
      </w:r>
      <w:r w:rsidRPr="00EC0DB9">
        <w:rPr>
          <w:b/>
          <w:szCs w:val="20"/>
        </w:rPr>
        <w:t xml:space="preserve"> </w:t>
      </w:r>
      <w:r>
        <w:rPr>
          <w:b/>
          <w:szCs w:val="20"/>
        </w:rPr>
        <w:t xml:space="preserve">a globalizace </w:t>
      </w:r>
      <w:r w:rsidRPr="00EC0DB9">
        <w:rPr>
          <w:b/>
          <w:szCs w:val="20"/>
        </w:rPr>
        <w:t xml:space="preserve">však vedly ke změnám, v důsledku kterých </w:t>
      </w:r>
      <w:r w:rsidR="007D3F38">
        <w:rPr>
          <w:b/>
          <w:szCs w:val="20"/>
        </w:rPr>
        <w:t>bylo</w:t>
      </w:r>
      <w:r w:rsidR="007D3F38" w:rsidRPr="00EC0DB9">
        <w:rPr>
          <w:b/>
          <w:szCs w:val="20"/>
        </w:rPr>
        <w:t xml:space="preserve"> </w:t>
      </w:r>
      <w:r w:rsidRPr="00EC0DB9">
        <w:rPr>
          <w:b/>
          <w:szCs w:val="20"/>
        </w:rPr>
        <w:t>potřeba zformulovat novou dlouhodobou vizi jaderné energetiky</w:t>
      </w:r>
      <w:r>
        <w:rPr>
          <w:b/>
          <w:szCs w:val="20"/>
        </w:rPr>
        <w:t xml:space="preserve"> v</w:t>
      </w:r>
      <w:r w:rsidR="00D26BE5">
        <w:rPr>
          <w:b/>
          <w:szCs w:val="20"/>
        </w:rPr>
        <w:t> </w:t>
      </w:r>
      <w:r>
        <w:rPr>
          <w:b/>
          <w:szCs w:val="20"/>
        </w:rPr>
        <w:t>ČR</w:t>
      </w:r>
      <w:r w:rsidR="00D26BE5">
        <w:rPr>
          <w:b/>
          <w:szCs w:val="20"/>
        </w:rPr>
        <w:t xml:space="preserve"> v </w:t>
      </w:r>
      <w:r w:rsidR="007D3F38">
        <w:rPr>
          <w:b/>
          <w:szCs w:val="20"/>
        </w:rPr>
        <w:t xml:space="preserve">rámci </w:t>
      </w:r>
      <w:r w:rsidR="00D26BE5">
        <w:rPr>
          <w:b/>
          <w:szCs w:val="20"/>
        </w:rPr>
        <w:t>schválené Státní energetické koncepce</w:t>
      </w:r>
      <w:r w:rsidR="007D3F38" w:rsidRPr="007D3F38">
        <w:rPr>
          <w:szCs w:val="20"/>
        </w:rPr>
        <w:t>, kdy NAP JE pouze konkretizuje jednotlivé dílčí kroky k realizaci strategických cílů obsažených v</w:t>
      </w:r>
      <w:r w:rsidR="00AE7C5D">
        <w:rPr>
          <w:szCs w:val="20"/>
        </w:rPr>
        <w:t> </w:t>
      </w:r>
      <w:r w:rsidR="007D3F38" w:rsidRPr="007D3F38">
        <w:rPr>
          <w:szCs w:val="20"/>
        </w:rPr>
        <w:t>SEK</w:t>
      </w:r>
      <w:r w:rsidR="00AE7C5D">
        <w:rPr>
          <w:szCs w:val="20"/>
        </w:rPr>
        <w:t>.</w:t>
      </w:r>
    </w:p>
    <w:p w:rsidR="00EB4E4E" w:rsidRDefault="00EB4E4E">
      <w:pPr>
        <w:rPr>
          <w:szCs w:val="20"/>
        </w:rPr>
      </w:pPr>
      <w:r>
        <w:rPr>
          <w:szCs w:val="20"/>
        </w:rPr>
        <w:br w:type="page"/>
      </w:r>
    </w:p>
    <w:p w:rsidR="006677BF" w:rsidRPr="00EF1C59" w:rsidRDefault="00403E3C" w:rsidP="006677BF">
      <w:pPr>
        <w:pStyle w:val="Nadpis1"/>
      </w:pPr>
      <w:bookmarkStart w:id="4" w:name="_Toc407035539"/>
      <w:bookmarkStart w:id="5" w:name="_Toc420055983"/>
      <w:r w:rsidRPr="00EF1C59">
        <w:lastRenderedPageBreak/>
        <w:t>Vize rozvoje jaderné energetiky</w:t>
      </w:r>
      <w:bookmarkEnd w:id="4"/>
      <w:bookmarkEnd w:id="5"/>
    </w:p>
    <w:p w:rsidR="00961B82" w:rsidRPr="00EF1C59" w:rsidRDefault="001C2163" w:rsidP="006677BF">
      <w:pPr>
        <w:pStyle w:val="Odstavecseseznamem"/>
        <w:ind w:left="0"/>
        <w:contextualSpacing w:val="0"/>
        <w:jc w:val="both"/>
        <w:rPr>
          <w:szCs w:val="20"/>
        </w:rPr>
      </w:pPr>
      <w:r>
        <w:rPr>
          <w:szCs w:val="20"/>
        </w:rPr>
        <w:t>Jaderná energetika</w:t>
      </w:r>
      <w:r w:rsidRPr="00EF1C59">
        <w:rPr>
          <w:szCs w:val="20"/>
        </w:rPr>
        <w:t xml:space="preserve"> </w:t>
      </w:r>
      <w:r w:rsidR="00EF1C59">
        <w:rPr>
          <w:szCs w:val="20"/>
        </w:rPr>
        <w:t xml:space="preserve">je v dlouhodobé vizi energetiky ČR </w:t>
      </w:r>
      <w:r w:rsidR="008F03A4" w:rsidRPr="00EF1C59">
        <w:rPr>
          <w:szCs w:val="20"/>
        </w:rPr>
        <w:t>klíčový prvek zajišťující</w:t>
      </w:r>
      <w:r w:rsidR="00961B82" w:rsidRPr="00EF1C59">
        <w:rPr>
          <w:szCs w:val="20"/>
        </w:rPr>
        <w:t>:</w:t>
      </w:r>
    </w:p>
    <w:p w:rsidR="00961B82" w:rsidRPr="00EF1C59" w:rsidRDefault="00961B82" w:rsidP="00EF1C59">
      <w:pPr>
        <w:jc w:val="both"/>
        <w:rPr>
          <w:szCs w:val="20"/>
        </w:rPr>
      </w:pPr>
      <w:r w:rsidRPr="00EF1C59">
        <w:rPr>
          <w:b/>
          <w:szCs w:val="20"/>
        </w:rPr>
        <w:t>Přechod na nízkouhlíkovou energetiku</w:t>
      </w:r>
      <w:r w:rsidR="00EF1C59" w:rsidRPr="00EF1C59">
        <w:rPr>
          <w:b/>
          <w:szCs w:val="20"/>
        </w:rPr>
        <w:t xml:space="preserve"> do roku 2050</w:t>
      </w:r>
      <w:r w:rsidR="00EF1C59" w:rsidRPr="001A5584">
        <w:rPr>
          <w:b/>
          <w:szCs w:val="20"/>
        </w:rPr>
        <w:t xml:space="preserve"> </w:t>
      </w:r>
      <w:r w:rsidR="001A5584" w:rsidRPr="001A5584">
        <w:rPr>
          <w:b/>
          <w:szCs w:val="20"/>
        </w:rPr>
        <w:t>v</w:t>
      </w:r>
      <w:r w:rsidR="001A5584">
        <w:rPr>
          <w:b/>
          <w:szCs w:val="20"/>
        </w:rPr>
        <w:t> </w:t>
      </w:r>
      <w:r w:rsidR="001A5584" w:rsidRPr="001A5584">
        <w:rPr>
          <w:b/>
          <w:szCs w:val="20"/>
        </w:rPr>
        <w:t>kontextu</w:t>
      </w:r>
      <w:r w:rsidR="001A5584">
        <w:rPr>
          <w:b/>
          <w:szCs w:val="20"/>
        </w:rPr>
        <w:t xml:space="preserve"> naplňování</w:t>
      </w:r>
      <w:r w:rsidR="001A5584" w:rsidRPr="001A5584">
        <w:rPr>
          <w:b/>
          <w:szCs w:val="20"/>
        </w:rPr>
        <w:t xml:space="preserve"> českých mezinárodních závazků</w:t>
      </w:r>
      <w:r w:rsidR="001A5584">
        <w:rPr>
          <w:szCs w:val="20"/>
        </w:rPr>
        <w:t xml:space="preserve"> </w:t>
      </w:r>
      <w:r w:rsidR="00EF1C59" w:rsidRPr="00EF1C59">
        <w:rPr>
          <w:szCs w:val="20"/>
        </w:rPr>
        <w:t>–</w:t>
      </w:r>
      <w:r w:rsidR="00EF1C59">
        <w:rPr>
          <w:szCs w:val="20"/>
        </w:rPr>
        <w:t xml:space="preserve"> </w:t>
      </w:r>
      <w:r w:rsidR="00EF1C59" w:rsidRPr="00EF1C59">
        <w:rPr>
          <w:szCs w:val="20"/>
        </w:rPr>
        <w:t>bere v úvahu skutečnost, že po roce 2050/60 nebudou k dispozici prakticky žádné domácí fosilní zdroje v rozsahu, který by umožňoval jejich využití pro výrobu elektřiny se zahrnutím celé infrastruktury pro odlučování a zejména ukládání CO</w:t>
      </w:r>
      <w:r w:rsidR="00EF1C59" w:rsidRPr="00474BA3">
        <w:rPr>
          <w:szCs w:val="20"/>
          <w:vertAlign w:val="subscript"/>
        </w:rPr>
        <w:t>2</w:t>
      </w:r>
      <w:r w:rsidR="00EF1C59" w:rsidRPr="00EF1C59">
        <w:rPr>
          <w:szCs w:val="20"/>
        </w:rPr>
        <w:t xml:space="preserve">. V nízkouhlíkové energetice bez domácích fosilních zdrojů se předpokládá na straně zdrojů kombinace elektřiny z obnovitelných zdrojů </w:t>
      </w:r>
      <w:r w:rsidR="00EF1C59">
        <w:rPr>
          <w:szCs w:val="20"/>
        </w:rPr>
        <w:t>a</w:t>
      </w:r>
      <w:r w:rsidR="00C223D0">
        <w:rPr>
          <w:szCs w:val="20"/>
        </w:rPr>
        <w:t> </w:t>
      </w:r>
      <w:r w:rsidR="00EF1C59">
        <w:rPr>
          <w:szCs w:val="20"/>
        </w:rPr>
        <w:t xml:space="preserve">jaderné energetiky a současně vysoký podíl spotřeby elektřiny </w:t>
      </w:r>
      <w:r w:rsidR="00013DB0">
        <w:rPr>
          <w:szCs w:val="20"/>
        </w:rPr>
        <w:t>v rámci celkové</w:t>
      </w:r>
      <w:r w:rsidR="00EF1C59">
        <w:rPr>
          <w:szCs w:val="20"/>
        </w:rPr>
        <w:t xml:space="preserve"> </w:t>
      </w:r>
      <w:r w:rsidR="003D1296">
        <w:rPr>
          <w:szCs w:val="20"/>
        </w:rPr>
        <w:t xml:space="preserve">konečné </w:t>
      </w:r>
      <w:r w:rsidR="00EF1C59">
        <w:rPr>
          <w:szCs w:val="20"/>
        </w:rPr>
        <w:t>spotřeby</w:t>
      </w:r>
      <w:r w:rsidR="003D1296">
        <w:rPr>
          <w:szCs w:val="20"/>
        </w:rPr>
        <w:t xml:space="preserve"> energie</w:t>
      </w:r>
      <w:r w:rsidR="00EF1C59">
        <w:rPr>
          <w:szCs w:val="20"/>
        </w:rPr>
        <w:t xml:space="preserve">, </w:t>
      </w:r>
      <w:r w:rsidR="00013DB0">
        <w:rPr>
          <w:szCs w:val="20"/>
        </w:rPr>
        <w:t>v souladu s předpoklade</w:t>
      </w:r>
      <w:r w:rsidR="007937CD">
        <w:rPr>
          <w:szCs w:val="20"/>
        </w:rPr>
        <w:t>m</w:t>
      </w:r>
      <w:r w:rsidR="00013DB0">
        <w:rPr>
          <w:szCs w:val="20"/>
        </w:rPr>
        <w:t>, že elektrická energie</w:t>
      </w:r>
      <w:r w:rsidR="00EF1C59">
        <w:rPr>
          <w:szCs w:val="20"/>
        </w:rPr>
        <w:t xml:space="preserve"> </w:t>
      </w:r>
      <w:r w:rsidR="006A6FCE">
        <w:rPr>
          <w:szCs w:val="20"/>
        </w:rPr>
        <w:t xml:space="preserve">bude muset s vysokou pravděpodobností a v závislosti na dostupnosti fosilních paliv </w:t>
      </w:r>
      <w:r w:rsidR="00EF1C59">
        <w:rPr>
          <w:szCs w:val="20"/>
        </w:rPr>
        <w:t xml:space="preserve">z významné části </w:t>
      </w:r>
      <w:r w:rsidR="006A6FCE">
        <w:rPr>
          <w:szCs w:val="20"/>
        </w:rPr>
        <w:t xml:space="preserve">nahradit </w:t>
      </w:r>
      <w:r w:rsidR="00EF1C59">
        <w:rPr>
          <w:szCs w:val="20"/>
        </w:rPr>
        <w:t>spotřebu kapalných paliv v dopravě a fosilních zdrojů v dodávce tepla</w:t>
      </w:r>
      <w:r w:rsidR="006A6FCE">
        <w:rPr>
          <w:szCs w:val="20"/>
        </w:rPr>
        <w:t>, a to již postupně v horizontu let 2040 až 2060.</w:t>
      </w:r>
    </w:p>
    <w:p w:rsidR="00961B82" w:rsidRPr="00EF1C59" w:rsidRDefault="00961B82" w:rsidP="00EF1C59">
      <w:pPr>
        <w:jc w:val="both"/>
        <w:rPr>
          <w:szCs w:val="20"/>
        </w:rPr>
      </w:pPr>
      <w:r w:rsidRPr="00EF1C59">
        <w:rPr>
          <w:b/>
          <w:szCs w:val="20"/>
        </w:rPr>
        <w:t>Zajištění energetické bezpečnosti (schopnosti dlouhodobých dodávek elektřiny i při výpadku vnějších dodávek zdrojů)</w:t>
      </w:r>
      <w:r w:rsidR="00EF1C59">
        <w:rPr>
          <w:szCs w:val="20"/>
        </w:rPr>
        <w:t xml:space="preserve"> – z hlediska bezpečnosti dodávek je jaderná energetika základním prvkem bezpečnosti za předpokladu </w:t>
      </w:r>
      <w:r w:rsidR="00D720EE">
        <w:rPr>
          <w:szCs w:val="20"/>
        </w:rPr>
        <w:t xml:space="preserve">udržení </w:t>
      </w:r>
      <w:r w:rsidR="00EF1C59">
        <w:rPr>
          <w:szCs w:val="20"/>
        </w:rPr>
        <w:t>dostatečných strategických zásob uranového koncentrátu a</w:t>
      </w:r>
      <w:r w:rsidR="00C223D0">
        <w:rPr>
          <w:szCs w:val="20"/>
        </w:rPr>
        <w:t> </w:t>
      </w:r>
      <w:r w:rsidR="00D720EE">
        <w:rPr>
          <w:szCs w:val="20"/>
        </w:rPr>
        <w:t>zabezpečení separačních obohacovacích a fabrikačních prací. Fabrikační práce jsou při rozsahu jaderné energetiky a jejím očekávaném dlouhodobém podílu vhodné zajistit na území ČR ve vlastním závodě, případně ve středoevropském prostoru v rámci multilaterální mezinárodní dohody. Podle vývoje světového trhu s uranem (bilance, variabilita dodávek, otevřenost obchodu a teritoriální struktura těžby) pak budou tvořen</w:t>
      </w:r>
      <w:r w:rsidR="00771447">
        <w:rPr>
          <w:szCs w:val="20"/>
        </w:rPr>
        <w:t xml:space="preserve">y zásoby uranového koncentrátu </w:t>
      </w:r>
      <w:r w:rsidR="00D720EE">
        <w:rPr>
          <w:szCs w:val="20"/>
        </w:rPr>
        <w:t xml:space="preserve">v rozsahu spotřeby na </w:t>
      </w:r>
      <w:r w:rsidR="00474BA3">
        <w:rPr>
          <w:szCs w:val="20"/>
        </w:rPr>
        <w:t>4</w:t>
      </w:r>
      <w:r w:rsidR="00D720EE">
        <w:rPr>
          <w:szCs w:val="20"/>
        </w:rPr>
        <w:t xml:space="preserve"> a více let. U konverzních a obohacovacích prací se předpokládá jejich zajišťování na základě mezinárodních dohod, které dlouhodob</w:t>
      </w:r>
      <w:r w:rsidR="00F811FF">
        <w:rPr>
          <w:szCs w:val="20"/>
        </w:rPr>
        <w:t xml:space="preserve">ě garantují jejich dostupnost. </w:t>
      </w:r>
      <w:r w:rsidR="00D720EE">
        <w:rPr>
          <w:szCs w:val="20"/>
        </w:rPr>
        <w:t>Za těchto předpokladů je z hlediska energetické bezpečnosti jaderná energetika nejbezpečnějším zdroje</w:t>
      </w:r>
      <w:r w:rsidR="003D1296">
        <w:rPr>
          <w:szCs w:val="20"/>
        </w:rPr>
        <w:t>m</w:t>
      </w:r>
      <w:r w:rsidR="00013DB0">
        <w:rPr>
          <w:szCs w:val="20"/>
        </w:rPr>
        <w:t>,</w:t>
      </w:r>
      <w:r w:rsidR="003D1296">
        <w:rPr>
          <w:szCs w:val="20"/>
        </w:rPr>
        <w:t xml:space="preserve"> a to i ve srovnání s výrobou z</w:t>
      </w:r>
      <w:r w:rsidR="00D720EE">
        <w:rPr>
          <w:szCs w:val="20"/>
        </w:rPr>
        <w:t> </w:t>
      </w:r>
      <w:r w:rsidR="00F45DC7">
        <w:rPr>
          <w:szCs w:val="20"/>
        </w:rPr>
        <w:t>obnovitelných zdrojů energie (</w:t>
      </w:r>
      <w:r w:rsidR="00D720EE">
        <w:rPr>
          <w:szCs w:val="20"/>
        </w:rPr>
        <w:t>OZE</w:t>
      </w:r>
      <w:r w:rsidR="00F45DC7">
        <w:rPr>
          <w:szCs w:val="20"/>
        </w:rPr>
        <w:t>)</w:t>
      </w:r>
      <w:r w:rsidR="00D720EE">
        <w:rPr>
          <w:szCs w:val="20"/>
        </w:rPr>
        <w:t>, která může být krátko</w:t>
      </w:r>
      <w:r w:rsidR="003D1296">
        <w:rPr>
          <w:szCs w:val="20"/>
        </w:rPr>
        <w:t>době,</w:t>
      </w:r>
      <w:r w:rsidR="00D720EE">
        <w:rPr>
          <w:szCs w:val="20"/>
        </w:rPr>
        <w:t xml:space="preserve"> nebo dlouhodobě ovlivněna přírodními změnami. </w:t>
      </w:r>
    </w:p>
    <w:p w:rsidR="00961B82" w:rsidRPr="007574C5" w:rsidRDefault="008F03A4" w:rsidP="00D720EE">
      <w:pPr>
        <w:jc w:val="both"/>
        <w:rPr>
          <w:szCs w:val="20"/>
        </w:rPr>
      </w:pPr>
      <w:r w:rsidRPr="00D720EE">
        <w:rPr>
          <w:b/>
          <w:szCs w:val="20"/>
        </w:rPr>
        <w:t xml:space="preserve">Průmyslovou produkci </w:t>
      </w:r>
      <w:r w:rsidR="00961B82" w:rsidRPr="00D720EE">
        <w:rPr>
          <w:b/>
          <w:szCs w:val="20"/>
        </w:rPr>
        <w:t>a exportní potenciál</w:t>
      </w:r>
      <w:r w:rsidR="00D720EE">
        <w:rPr>
          <w:szCs w:val="20"/>
        </w:rPr>
        <w:t xml:space="preserve"> – dosavadní výstavba a provoz jaderných zdrojů na území ČR byly zajišťovány převážně domácím průmyslem a současně mu poskytovaly možnost dodávek na zahraniční trhy. Podíl jadernéh</w:t>
      </w:r>
      <w:r w:rsidR="00771447">
        <w:rPr>
          <w:szCs w:val="20"/>
        </w:rPr>
        <w:t xml:space="preserve">o průmyslu a infrastruktury na </w:t>
      </w:r>
      <w:r w:rsidR="00D720EE">
        <w:rPr>
          <w:szCs w:val="20"/>
        </w:rPr>
        <w:t xml:space="preserve">zaměstnanosti je cca </w:t>
      </w:r>
      <w:r w:rsidR="00995DEB" w:rsidRPr="00737B21">
        <w:rPr>
          <w:szCs w:val="20"/>
        </w:rPr>
        <w:t>15 </w:t>
      </w:r>
      <w:r w:rsidR="00D720EE" w:rsidRPr="00737B21">
        <w:rPr>
          <w:szCs w:val="20"/>
        </w:rPr>
        <w:t>000 osob</w:t>
      </w:r>
      <w:r w:rsidR="00771447">
        <w:rPr>
          <w:szCs w:val="20"/>
        </w:rPr>
        <w:t xml:space="preserve"> a podíl na HDP </w:t>
      </w:r>
      <w:r w:rsidR="00D720EE">
        <w:rPr>
          <w:szCs w:val="20"/>
        </w:rPr>
        <w:t xml:space="preserve">je </w:t>
      </w:r>
      <w:r w:rsidR="00D720EE" w:rsidRPr="00737B21">
        <w:rPr>
          <w:szCs w:val="20"/>
        </w:rPr>
        <w:t xml:space="preserve">cca </w:t>
      </w:r>
      <w:r w:rsidR="00995DEB" w:rsidRPr="00737B21">
        <w:rPr>
          <w:szCs w:val="20"/>
        </w:rPr>
        <w:t>2</w:t>
      </w:r>
      <w:r w:rsidR="003D1296">
        <w:rPr>
          <w:szCs w:val="20"/>
        </w:rPr>
        <w:t xml:space="preserve"> </w:t>
      </w:r>
      <w:r w:rsidR="00D720EE" w:rsidRPr="00737B21">
        <w:rPr>
          <w:szCs w:val="20"/>
        </w:rPr>
        <w:t>%</w:t>
      </w:r>
      <w:r w:rsidR="003D1296">
        <w:rPr>
          <w:szCs w:val="20"/>
        </w:rPr>
        <w:t>.</w:t>
      </w:r>
      <w:r w:rsidR="00D720EE">
        <w:rPr>
          <w:szCs w:val="20"/>
        </w:rPr>
        <w:t xml:space="preserve"> </w:t>
      </w:r>
      <w:r w:rsidR="003D1296">
        <w:rPr>
          <w:szCs w:val="20"/>
        </w:rPr>
        <w:t>V</w:t>
      </w:r>
      <w:r w:rsidR="00D720EE">
        <w:rPr>
          <w:szCs w:val="20"/>
        </w:rPr>
        <w:t xml:space="preserve"> případě dalšího rozvoje jaderné energetiky lze uvažovat s podílem </w:t>
      </w:r>
      <w:r w:rsidR="00C07FF3">
        <w:rPr>
          <w:szCs w:val="20"/>
        </w:rPr>
        <w:t xml:space="preserve">až na úrovni </w:t>
      </w:r>
      <w:r w:rsidR="00C07FF3" w:rsidRPr="007574C5">
        <w:rPr>
          <w:szCs w:val="20"/>
        </w:rPr>
        <w:t xml:space="preserve">dvojnásobku současného stavu. </w:t>
      </w:r>
    </w:p>
    <w:p w:rsidR="00961B82" w:rsidRPr="007574C5" w:rsidRDefault="00961B82" w:rsidP="00C07FF3">
      <w:pPr>
        <w:jc w:val="both"/>
        <w:rPr>
          <w:szCs w:val="20"/>
        </w:rPr>
      </w:pPr>
      <w:r w:rsidRPr="007574C5">
        <w:rPr>
          <w:b/>
          <w:szCs w:val="20"/>
        </w:rPr>
        <w:t xml:space="preserve">Znalostní základnu ekonomiky (tahoun </w:t>
      </w:r>
      <w:proofErr w:type="spellStart"/>
      <w:r w:rsidRPr="007574C5">
        <w:rPr>
          <w:b/>
          <w:szCs w:val="20"/>
        </w:rPr>
        <w:t>hi-tech</w:t>
      </w:r>
      <w:proofErr w:type="spellEnd"/>
      <w:r w:rsidRPr="007574C5">
        <w:rPr>
          <w:b/>
          <w:szCs w:val="20"/>
        </w:rPr>
        <w:t xml:space="preserve"> průmyslové výroby, organizačn</w:t>
      </w:r>
      <w:r w:rsidR="008F03A4" w:rsidRPr="007574C5">
        <w:rPr>
          <w:b/>
          <w:szCs w:val="20"/>
        </w:rPr>
        <w:t>ích a konstrukčních dovedností</w:t>
      </w:r>
      <w:r w:rsidRPr="007574C5">
        <w:rPr>
          <w:b/>
          <w:szCs w:val="20"/>
        </w:rPr>
        <w:t>)</w:t>
      </w:r>
      <w:r w:rsidR="00C07FF3" w:rsidRPr="007574C5">
        <w:rPr>
          <w:szCs w:val="20"/>
        </w:rPr>
        <w:t xml:space="preserve"> – jaderná energetika</w:t>
      </w:r>
      <w:r w:rsidR="003D1296">
        <w:rPr>
          <w:szCs w:val="20"/>
        </w:rPr>
        <w:t>,</w:t>
      </w:r>
      <w:r w:rsidR="00C07FF3" w:rsidRPr="007574C5">
        <w:rPr>
          <w:szCs w:val="20"/>
        </w:rPr>
        <w:t xml:space="preserve"> jako jedna z nejkomplexnějších a nejsofistikovanějších oblastí lidské činnosti</w:t>
      </w:r>
      <w:r w:rsidR="003D1296">
        <w:rPr>
          <w:szCs w:val="20"/>
        </w:rPr>
        <w:t>,</w:t>
      </w:r>
      <w:r w:rsidR="00C07FF3" w:rsidRPr="007574C5">
        <w:rPr>
          <w:szCs w:val="20"/>
        </w:rPr>
        <w:t xml:space="preserve"> vyžaduje velmi vysokou kvalifikační úroveň a zajišťuje vysokou přidanou hodnotu, ale současně na sebe nabaluje </w:t>
      </w:r>
      <w:r w:rsidR="003D1296">
        <w:rPr>
          <w:szCs w:val="20"/>
        </w:rPr>
        <w:t xml:space="preserve">i </w:t>
      </w:r>
      <w:r w:rsidR="00C07FF3" w:rsidRPr="007574C5">
        <w:rPr>
          <w:szCs w:val="20"/>
        </w:rPr>
        <w:t>další obory (materiálový výzkum a vývoj, vývoj strojírenství a další)</w:t>
      </w:r>
      <w:r w:rsidR="005F1372" w:rsidRPr="007574C5">
        <w:rPr>
          <w:szCs w:val="20"/>
        </w:rPr>
        <w:t>.</w:t>
      </w:r>
    </w:p>
    <w:p w:rsidR="00771447" w:rsidRPr="007574C5" w:rsidRDefault="001C2163" w:rsidP="00C223D0">
      <w:pPr>
        <w:pStyle w:val="Odstavecseseznamem"/>
        <w:ind w:left="0"/>
        <w:contextualSpacing w:val="0"/>
        <w:jc w:val="both"/>
        <w:rPr>
          <w:szCs w:val="20"/>
        </w:rPr>
      </w:pPr>
      <w:r w:rsidRPr="007574C5">
        <w:rPr>
          <w:szCs w:val="20"/>
        </w:rPr>
        <w:t>Státní energetická koncepce předpokládá, že j</w:t>
      </w:r>
      <w:r w:rsidR="009F0FFB" w:rsidRPr="007574C5">
        <w:rPr>
          <w:szCs w:val="20"/>
        </w:rPr>
        <w:t xml:space="preserve">aderná energetika </w:t>
      </w:r>
      <w:r w:rsidR="00771447" w:rsidRPr="007574C5">
        <w:rPr>
          <w:szCs w:val="20"/>
        </w:rPr>
        <w:t xml:space="preserve">bude hrát spolu s obnovitelnými zdroji energie klíčovou roli v energetice, zejména ve výrobě elektřiny. </w:t>
      </w:r>
      <w:r w:rsidRPr="007574C5">
        <w:rPr>
          <w:szCs w:val="20"/>
        </w:rPr>
        <w:t xml:space="preserve">S ohledem na komplexnost jaderné energetiky musí </w:t>
      </w:r>
      <w:r w:rsidR="001A5584" w:rsidRPr="007574C5">
        <w:rPr>
          <w:szCs w:val="20"/>
        </w:rPr>
        <w:t>dlouhodobé strategické zadání</w:t>
      </w:r>
      <w:r w:rsidRPr="007574C5">
        <w:rPr>
          <w:szCs w:val="20"/>
        </w:rPr>
        <w:t xml:space="preserve"> rozvoje </w:t>
      </w:r>
      <w:r w:rsidR="001A5584" w:rsidRPr="007574C5">
        <w:rPr>
          <w:szCs w:val="20"/>
        </w:rPr>
        <w:t>konkretizovat</w:t>
      </w:r>
      <w:r w:rsidRPr="007574C5">
        <w:rPr>
          <w:szCs w:val="20"/>
        </w:rPr>
        <w:t xml:space="preserve"> vizi všech prvků životního cyklu </w:t>
      </w:r>
      <w:r w:rsidR="00771447" w:rsidRPr="007574C5">
        <w:rPr>
          <w:szCs w:val="20"/>
        </w:rPr>
        <w:t xml:space="preserve">jaderných elektráren, </w:t>
      </w:r>
      <w:r w:rsidR="003E00F9" w:rsidRPr="007574C5">
        <w:rPr>
          <w:szCs w:val="20"/>
        </w:rPr>
        <w:t>a to s ohledem na předpokládaný</w:t>
      </w:r>
      <w:r w:rsidR="001A5584" w:rsidRPr="007574C5">
        <w:rPr>
          <w:szCs w:val="20"/>
        </w:rPr>
        <w:t xml:space="preserve"> (a v SEK konkretizovaný)</w:t>
      </w:r>
      <w:r w:rsidR="003E00F9" w:rsidRPr="007574C5">
        <w:rPr>
          <w:szCs w:val="20"/>
        </w:rPr>
        <w:t xml:space="preserve"> rozsah jaderné energetiky v budoucnosti - ukončení provozu EDU 1-4 v letech 2035-37, případně 2045-47, provoz ETE 1,2 cca do roku 2060, výstavba až 3 bloků nových jaderných zdrojů (NJZ) do roku 2040 a případná další výstavba po roce 2040. </w:t>
      </w:r>
    </w:p>
    <w:p w:rsidR="00771447" w:rsidRPr="00F17B07" w:rsidRDefault="003E00F9" w:rsidP="00771447">
      <w:pPr>
        <w:pStyle w:val="Odstavecseseznamem"/>
        <w:spacing w:before="200"/>
        <w:ind w:left="0"/>
        <w:contextualSpacing w:val="0"/>
        <w:jc w:val="both"/>
        <w:rPr>
          <w:szCs w:val="20"/>
        </w:rPr>
      </w:pPr>
      <w:r w:rsidRPr="007574C5">
        <w:rPr>
          <w:szCs w:val="20"/>
        </w:rPr>
        <w:lastRenderedPageBreak/>
        <w:t xml:space="preserve">Je rovněž nutné si uvědomit, že </w:t>
      </w:r>
      <w:r w:rsidR="00771447" w:rsidRPr="007574C5">
        <w:rPr>
          <w:szCs w:val="20"/>
        </w:rPr>
        <w:t xml:space="preserve">vývoj </w:t>
      </w:r>
      <w:r w:rsidRPr="007574C5">
        <w:rPr>
          <w:szCs w:val="20"/>
        </w:rPr>
        <w:t>spotřeby elektrické energie předpokládaný v rámci SEK může být podhodnocený v případě, že nedojde k </w:t>
      </w:r>
      <w:r w:rsidR="00E967AE" w:rsidRPr="007574C5">
        <w:rPr>
          <w:szCs w:val="20"/>
        </w:rPr>
        <w:t xml:space="preserve">realizaci </w:t>
      </w:r>
      <w:r w:rsidRPr="007574C5">
        <w:rPr>
          <w:szCs w:val="20"/>
        </w:rPr>
        <w:t>celého rozsahu plánovaných úspor a oproti tomu dojde k masivnímu</w:t>
      </w:r>
      <w:r w:rsidR="00771447" w:rsidRPr="007574C5">
        <w:rPr>
          <w:szCs w:val="20"/>
        </w:rPr>
        <w:t xml:space="preserve"> nasazení elektřiny v</w:t>
      </w:r>
      <w:r w:rsidR="0032745B">
        <w:rPr>
          <w:szCs w:val="20"/>
        </w:rPr>
        <w:t> </w:t>
      </w:r>
      <w:r w:rsidR="00771447" w:rsidRPr="007574C5">
        <w:rPr>
          <w:szCs w:val="20"/>
        </w:rPr>
        <w:t>dopravě</w:t>
      </w:r>
      <w:r w:rsidR="0032745B">
        <w:rPr>
          <w:szCs w:val="20"/>
        </w:rPr>
        <w:t xml:space="preserve"> (vyššímu než předpokládá SEK)</w:t>
      </w:r>
      <w:r w:rsidR="00771447" w:rsidRPr="007574C5">
        <w:rPr>
          <w:szCs w:val="20"/>
        </w:rPr>
        <w:t xml:space="preserve"> a teplárenství</w:t>
      </w:r>
      <w:r w:rsidRPr="007574C5">
        <w:rPr>
          <w:szCs w:val="20"/>
        </w:rPr>
        <w:t xml:space="preserve"> tak, aby byly dosaženy</w:t>
      </w:r>
      <w:r w:rsidR="00771447" w:rsidRPr="007574C5">
        <w:rPr>
          <w:szCs w:val="20"/>
        </w:rPr>
        <w:t xml:space="preserve"> cíle klimatické politiky.</w:t>
      </w:r>
      <w:r w:rsidR="00224BD2" w:rsidRPr="007574C5">
        <w:rPr>
          <w:szCs w:val="20"/>
        </w:rPr>
        <w:t xml:space="preserve"> </w:t>
      </w:r>
      <w:r w:rsidRPr="007574C5">
        <w:rPr>
          <w:szCs w:val="20"/>
        </w:rPr>
        <w:t>To by mohlo vyvolat potřebu dalších NJZ v horizontu roku 2050 v případě, že by nebylo možno tuto zvýšenou potřebu nahradit OZE.</w:t>
      </w:r>
    </w:p>
    <w:p w:rsidR="005959F1" w:rsidRDefault="005959F1" w:rsidP="005959F1">
      <w:pPr>
        <w:jc w:val="both"/>
        <w:rPr>
          <w:rFonts w:ascii="Calibri" w:hAnsi="Calibri"/>
        </w:rPr>
      </w:pPr>
      <w:r>
        <w:rPr>
          <w:rFonts w:ascii="Calibri" w:hAnsi="Calibri"/>
        </w:rPr>
        <w:t xml:space="preserve">Z výše uvedených důvodů </w:t>
      </w:r>
      <w:r w:rsidRPr="0097633D">
        <w:rPr>
          <w:rFonts w:ascii="Calibri" w:hAnsi="Calibri"/>
        </w:rPr>
        <w:t>vyžaduje</w:t>
      </w:r>
      <w:r>
        <w:rPr>
          <w:rFonts w:ascii="Calibri" w:hAnsi="Calibri"/>
        </w:rPr>
        <w:t xml:space="preserve"> oblast j</w:t>
      </w:r>
      <w:r w:rsidRPr="0097633D">
        <w:rPr>
          <w:rFonts w:ascii="Calibri" w:hAnsi="Calibri"/>
        </w:rPr>
        <w:t>adern</w:t>
      </w:r>
      <w:r>
        <w:rPr>
          <w:rFonts w:ascii="Calibri" w:hAnsi="Calibri"/>
        </w:rPr>
        <w:t>é</w:t>
      </w:r>
      <w:r w:rsidRPr="0097633D">
        <w:rPr>
          <w:rFonts w:ascii="Calibri" w:hAnsi="Calibri"/>
        </w:rPr>
        <w:t xml:space="preserve"> energetik</w:t>
      </w:r>
      <w:r>
        <w:rPr>
          <w:rFonts w:ascii="Calibri" w:hAnsi="Calibri"/>
        </w:rPr>
        <w:t>y</w:t>
      </w:r>
      <w:r w:rsidRPr="0097633D">
        <w:rPr>
          <w:rFonts w:ascii="Calibri" w:hAnsi="Calibri"/>
        </w:rPr>
        <w:t xml:space="preserve"> </w:t>
      </w:r>
      <w:r>
        <w:rPr>
          <w:rFonts w:ascii="Calibri" w:hAnsi="Calibri"/>
        </w:rPr>
        <w:t xml:space="preserve">jasné </w:t>
      </w:r>
      <w:r w:rsidRPr="0097633D">
        <w:rPr>
          <w:rFonts w:ascii="Calibri" w:hAnsi="Calibri"/>
        </w:rPr>
        <w:t xml:space="preserve">rozhodnutí o </w:t>
      </w:r>
      <w:r>
        <w:rPr>
          <w:rFonts w:ascii="Calibri" w:hAnsi="Calibri"/>
        </w:rPr>
        <w:t xml:space="preserve">dlouhodobém </w:t>
      </w:r>
      <w:r w:rsidRPr="0097633D">
        <w:rPr>
          <w:rFonts w:ascii="Calibri" w:hAnsi="Calibri"/>
        </w:rPr>
        <w:t>využívání jaderné energie</w:t>
      </w:r>
      <w:r>
        <w:rPr>
          <w:rFonts w:ascii="Calibri" w:hAnsi="Calibri"/>
        </w:rPr>
        <w:t xml:space="preserve"> k výrobě elektrické energie</w:t>
      </w:r>
      <w:r w:rsidRPr="0097633D">
        <w:rPr>
          <w:rFonts w:ascii="Calibri" w:hAnsi="Calibri"/>
        </w:rPr>
        <w:t xml:space="preserve">. Součástí tohoto rozhodnutí </w:t>
      </w:r>
      <w:r>
        <w:rPr>
          <w:rFonts w:ascii="Calibri" w:hAnsi="Calibri"/>
        </w:rPr>
        <w:t>musí být rovněž</w:t>
      </w:r>
      <w:r w:rsidRPr="0097633D">
        <w:rPr>
          <w:rFonts w:ascii="Calibri" w:hAnsi="Calibri"/>
        </w:rPr>
        <w:t xml:space="preserve"> závazek zajistit dlouhodobě udržitelnou národní infrastrukturu potřebnou k zajištění vize rozvoje jaderné energetiky, která zahrnuje závazky na straně vlády, právního rámce, regulace, materiálních předpokladů, technologických předpokladů, lidských zdrojů a v neposlední řadě podpory průmyslu a</w:t>
      </w:r>
      <w:r w:rsidR="00E963D2">
        <w:rPr>
          <w:rFonts w:ascii="Calibri" w:hAnsi="Calibri"/>
        </w:rPr>
        <w:t> </w:t>
      </w:r>
      <w:r w:rsidRPr="0097633D">
        <w:rPr>
          <w:rFonts w:ascii="Calibri" w:hAnsi="Calibri"/>
        </w:rPr>
        <w:t xml:space="preserve">veřejného mínění v průběhu celého životního cyklu. Demonstrace souladu s mezinárodními právními nástroji, mezinárodně akceptovatelnými normami bezpečnosti, doporučeními na zajištění fyzické ochrany a zárukovými mechanismy z hlediska nešíření jaderných materiálů je zcela zásadní k vytvoření a udržování přijatelného jaderného programu. Tyto požadavky shrnula MAAE ve své zprávě </w:t>
      </w:r>
      <w:proofErr w:type="spellStart"/>
      <w:r w:rsidRPr="00C223D0">
        <w:rPr>
          <w:rFonts w:ascii="Calibri" w:hAnsi="Calibri"/>
          <w:i/>
        </w:rPr>
        <w:t>Milestones</w:t>
      </w:r>
      <w:proofErr w:type="spellEnd"/>
      <w:r w:rsidRPr="00C223D0">
        <w:rPr>
          <w:rFonts w:ascii="Calibri" w:hAnsi="Calibri"/>
          <w:i/>
        </w:rPr>
        <w:t xml:space="preserve"> in </w:t>
      </w:r>
      <w:proofErr w:type="spellStart"/>
      <w:r w:rsidRPr="00C223D0">
        <w:rPr>
          <w:rFonts w:ascii="Calibri" w:hAnsi="Calibri"/>
          <w:i/>
        </w:rPr>
        <w:t>the</w:t>
      </w:r>
      <w:proofErr w:type="spellEnd"/>
      <w:r w:rsidRPr="00C223D0">
        <w:rPr>
          <w:rFonts w:ascii="Calibri" w:hAnsi="Calibri"/>
          <w:i/>
        </w:rPr>
        <w:t xml:space="preserve"> </w:t>
      </w:r>
      <w:proofErr w:type="spellStart"/>
      <w:r w:rsidRPr="00C223D0">
        <w:rPr>
          <w:rFonts w:ascii="Calibri" w:hAnsi="Calibri"/>
          <w:i/>
        </w:rPr>
        <w:t>Development</w:t>
      </w:r>
      <w:proofErr w:type="spellEnd"/>
      <w:r w:rsidRPr="00C223D0">
        <w:rPr>
          <w:rFonts w:ascii="Calibri" w:hAnsi="Calibri"/>
          <w:i/>
        </w:rPr>
        <w:t xml:space="preserve"> </w:t>
      </w:r>
      <w:proofErr w:type="spellStart"/>
      <w:r w:rsidRPr="00C223D0">
        <w:rPr>
          <w:rFonts w:ascii="Calibri" w:hAnsi="Calibri"/>
          <w:i/>
        </w:rPr>
        <w:t>of</w:t>
      </w:r>
      <w:proofErr w:type="spellEnd"/>
      <w:r w:rsidRPr="00C223D0">
        <w:rPr>
          <w:rFonts w:ascii="Calibri" w:hAnsi="Calibri"/>
          <w:i/>
        </w:rPr>
        <w:t xml:space="preserve"> a </w:t>
      </w:r>
      <w:proofErr w:type="spellStart"/>
      <w:r w:rsidRPr="00C223D0">
        <w:rPr>
          <w:rFonts w:ascii="Calibri" w:hAnsi="Calibri"/>
          <w:i/>
        </w:rPr>
        <w:t>National</w:t>
      </w:r>
      <w:proofErr w:type="spellEnd"/>
      <w:r w:rsidRPr="00C223D0">
        <w:rPr>
          <w:rFonts w:ascii="Calibri" w:hAnsi="Calibri"/>
          <w:i/>
        </w:rPr>
        <w:t xml:space="preserve"> </w:t>
      </w:r>
      <w:proofErr w:type="spellStart"/>
      <w:r w:rsidRPr="00C223D0">
        <w:rPr>
          <w:rFonts w:ascii="Calibri" w:hAnsi="Calibri"/>
          <w:i/>
        </w:rPr>
        <w:t>Infrastructure</w:t>
      </w:r>
      <w:proofErr w:type="spellEnd"/>
      <w:r w:rsidRPr="00C223D0">
        <w:rPr>
          <w:rFonts w:ascii="Calibri" w:hAnsi="Calibri"/>
          <w:i/>
        </w:rPr>
        <w:t xml:space="preserve"> </w:t>
      </w:r>
      <w:proofErr w:type="spellStart"/>
      <w:r w:rsidRPr="00C223D0">
        <w:rPr>
          <w:rFonts w:ascii="Calibri" w:hAnsi="Calibri"/>
          <w:i/>
        </w:rPr>
        <w:t>for</w:t>
      </w:r>
      <w:proofErr w:type="spellEnd"/>
      <w:r w:rsidRPr="00C223D0">
        <w:rPr>
          <w:rFonts w:ascii="Calibri" w:hAnsi="Calibri"/>
          <w:i/>
        </w:rPr>
        <w:t xml:space="preserve"> </w:t>
      </w:r>
      <w:proofErr w:type="spellStart"/>
      <w:r w:rsidRPr="00C223D0">
        <w:rPr>
          <w:rFonts w:ascii="Calibri" w:hAnsi="Calibri"/>
          <w:i/>
        </w:rPr>
        <w:t>Nuclear</w:t>
      </w:r>
      <w:proofErr w:type="spellEnd"/>
      <w:r w:rsidRPr="00C223D0">
        <w:rPr>
          <w:rFonts w:ascii="Calibri" w:hAnsi="Calibri"/>
          <w:i/>
        </w:rPr>
        <w:t xml:space="preserve"> </w:t>
      </w:r>
      <w:proofErr w:type="spellStart"/>
      <w:r w:rsidRPr="00C223D0">
        <w:rPr>
          <w:rFonts w:ascii="Calibri" w:hAnsi="Calibri"/>
          <w:i/>
        </w:rPr>
        <w:t>Power</w:t>
      </w:r>
      <w:proofErr w:type="spellEnd"/>
      <w:r w:rsidRPr="0097633D">
        <w:rPr>
          <w:rFonts w:ascii="Calibri" w:hAnsi="Calibri"/>
          <w:vertAlign w:val="superscript"/>
        </w:rPr>
        <w:footnoteReference w:id="6"/>
      </w:r>
      <w:r>
        <w:rPr>
          <w:rFonts w:ascii="Calibri" w:hAnsi="Calibri"/>
        </w:rPr>
        <w:t>, aktualizující dřívější verzi tohoto dokumentu</w:t>
      </w:r>
      <w:r>
        <w:rPr>
          <w:rStyle w:val="Znakapoznpodarou"/>
          <w:rFonts w:ascii="Calibri" w:hAnsi="Calibri"/>
        </w:rPr>
        <w:footnoteReference w:id="7"/>
      </w:r>
      <w:r>
        <w:rPr>
          <w:rFonts w:ascii="Calibri" w:hAnsi="Calibri"/>
        </w:rPr>
        <w:t>.</w:t>
      </w:r>
    </w:p>
    <w:p w:rsidR="005959F1" w:rsidRPr="00F525A5" w:rsidRDefault="005959F1" w:rsidP="005959F1">
      <w:pPr>
        <w:jc w:val="both"/>
      </w:pPr>
      <w:r w:rsidRPr="00F525A5">
        <w:t>MAAE definuje potřebnou infrastrukturu k jaderné energetice v těchto bodech:</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Strategie využívání jaderné energie v ČR (</w:t>
      </w:r>
      <w:proofErr w:type="spellStart"/>
      <w:r w:rsidRPr="00F525A5">
        <w:rPr>
          <w:rFonts w:cs="Times New Roman"/>
          <w:i/>
        </w:rPr>
        <w:t>National</w:t>
      </w:r>
      <w:proofErr w:type="spellEnd"/>
      <w:r w:rsidRPr="00F525A5">
        <w:rPr>
          <w:rFonts w:cs="Times New Roman"/>
          <w:i/>
        </w:rPr>
        <w:t xml:space="preserve"> </w:t>
      </w:r>
      <w:proofErr w:type="spellStart"/>
      <w:r w:rsidRPr="00F525A5">
        <w:rPr>
          <w:rFonts w:cs="Times New Roman"/>
          <w:i/>
        </w:rPr>
        <w:t>position</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Jaderná bezpečnost (</w:t>
      </w:r>
      <w:proofErr w:type="spellStart"/>
      <w:r w:rsidRPr="00F525A5">
        <w:rPr>
          <w:rFonts w:cs="Times New Roman"/>
          <w:i/>
        </w:rPr>
        <w:t>Nuclear</w:t>
      </w:r>
      <w:proofErr w:type="spellEnd"/>
      <w:r w:rsidRPr="00F525A5">
        <w:rPr>
          <w:rFonts w:cs="Times New Roman"/>
          <w:i/>
        </w:rPr>
        <w:t xml:space="preserve"> </w:t>
      </w:r>
      <w:proofErr w:type="spellStart"/>
      <w:r w:rsidRPr="00F525A5">
        <w:rPr>
          <w:rFonts w:cs="Times New Roman"/>
          <w:i/>
        </w:rPr>
        <w:t>safety</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Řízení (</w:t>
      </w:r>
      <w:r w:rsidRPr="00F525A5">
        <w:rPr>
          <w:rFonts w:cs="Times New Roman"/>
          <w:i/>
        </w:rPr>
        <w:t>Management</w:t>
      </w:r>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Veřejná podpora a financování (</w:t>
      </w:r>
      <w:proofErr w:type="spellStart"/>
      <w:r w:rsidRPr="00F525A5">
        <w:rPr>
          <w:rFonts w:cs="Times New Roman"/>
          <w:i/>
        </w:rPr>
        <w:t>Funding</w:t>
      </w:r>
      <w:proofErr w:type="spellEnd"/>
      <w:r w:rsidRPr="00F525A5">
        <w:rPr>
          <w:rFonts w:cs="Times New Roman"/>
          <w:i/>
        </w:rPr>
        <w:t xml:space="preserve"> and </w:t>
      </w:r>
      <w:proofErr w:type="spellStart"/>
      <w:r w:rsidRPr="00F525A5">
        <w:rPr>
          <w:rFonts w:cs="Times New Roman"/>
          <w:i/>
        </w:rPr>
        <w:t>financing</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Legislativní rámec (</w:t>
      </w:r>
      <w:proofErr w:type="spellStart"/>
      <w:r w:rsidRPr="00F525A5">
        <w:rPr>
          <w:rFonts w:cs="Times New Roman"/>
          <w:i/>
        </w:rPr>
        <w:t>Legal</w:t>
      </w:r>
      <w:proofErr w:type="spellEnd"/>
      <w:r w:rsidRPr="00F525A5">
        <w:rPr>
          <w:rFonts w:cs="Times New Roman"/>
          <w:i/>
        </w:rPr>
        <w:t xml:space="preserve"> Framework</w:t>
      </w:r>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Zárukový systém (</w:t>
      </w:r>
      <w:proofErr w:type="spellStart"/>
      <w:r w:rsidRPr="00F525A5">
        <w:rPr>
          <w:rFonts w:cs="Times New Roman"/>
          <w:i/>
        </w:rPr>
        <w:t>Safeguards</w:t>
      </w:r>
      <w:proofErr w:type="spellEnd"/>
      <w:r w:rsidRPr="00F525A5">
        <w:rPr>
          <w:rFonts w:cs="Times New Roman"/>
        </w:rPr>
        <w:t>)</w:t>
      </w:r>
    </w:p>
    <w:p w:rsidR="005959F1" w:rsidRPr="00D63C01" w:rsidRDefault="005959F1" w:rsidP="0044189F">
      <w:pPr>
        <w:pStyle w:val="Odstavecseseznamem"/>
        <w:numPr>
          <w:ilvl w:val="0"/>
          <w:numId w:val="24"/>
        </w:numPr>
        <w:spacing w:after="0"/>
        <w:ind w:left="851" w:hanging="426"/>
        <w:contextualSpacing w:val="0"/>
        <w:jc w:val="both"/>
        <w:rPr>
          <w:rFonts w:cs="Times New Roman"/>
        </w:rPr>
      </w:pPr>
      <w:r w:rsidRPr="00D63C01">
        <w:rPr>
          <w:rFonts w:cs="Times New Roman"/>
        </w:rPr>
        <w:t>Rámec dozoru nad jadernou bezpečností (</w:t>
      </w:r>
      <w:proofErr w:type="spellStart"/>
      <w:r w:rsidRPr="00D63C01">
        <w:rPr>
          <w:rFonts w:cs="Times New Roman"/>
          <w:i/>
        </w:rPr>
        <w:t>Regulatory</w:t>
      </w:r>
      <w:proofErr w:type="spellEnd"/>
      <w:r w:rsidRPr="00D63C01">
        <w:rPr>
          <w:rFonts w:cs="Times New Roman"/>
          <w:i/>
        </w:rPr>
        <w:t xml:space="preserve"> Framework</w:t>
      </w:r>
      <w:r w:rsidRPr="00D63C01">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Radiační ochrana (</w:t>
      </w:r>
      <w:proofErr w:type="spellStart"/>
      <w:r w:rsidRPr="00F525A5">
        <w:rPr>
          <w:rFonts w:cs="Times New Roman"/>
          <w:i/>
        </w:rPr>
        <w:t>Radiation</w:t>
      </w:r>
      <w:proofErr w:type="spellEnd"/>
      <w:r w:rsidRPr="00F525A5">
        <w:rPr>
          <w:rFonts w:cs="Times New Roman"/>
          <w:i/>
        </w:rPr>
        <w:t xml:space="preserve"> </w:t>
      </w:r>
      <w:proofErr w:type="spellStart"/>
      <w:r w:rsidRPr="00F525A5">
        <w:rPr>
          <w:rFonts w:cs="Times New Roman"/>
          <w:i/>
        </w:rPr>
        <w:t>protection</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Přenosová a distribuční sítě (</w:t>
      </w:r>
      <w:proofErr w:type="spellStart"/>
      <w:r w:rsidRPr="00F525A5">
        <w:rPr>
          <w:rFonts w:cs="Times New Roman"/>
          <w:i/>
        </w:rPr>
        <w:t>Electrical</w:t>
      </w:r>
      <w:proofErr w:type="spellEnd"/>
      <w:r w:rsidRPr="00F525A5">
        <w:rPr>
          <w:rFonts w:cs="Times New Roman"/>
          <w:i/>
        </w:rPr>
        <w:t xml:space="preserve"> </w:t>
      </w:r>
      <w:proofErr w:type="spellStart"/>
      <w:r w:rsidRPr="00F525A5">
        <w:rPr>
          <w:rFonts w:cs="Times New Roman"/>
          <w:i/>
        </w:rPr>
        <w:t>grid</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Zajištění lidských zdrojů (</w:t>
      </w:r>
      <w:proofErr w:type="spellStart"/>
      <w:r w:rsidRPr="00F525A5">
        <w:rPr>
          <w:rFonts w:cs="Times New Roman"/>
          <w:i/>
        </w:rPr>
        <w:t>Human</w:t>
      </w:r>
      <w:proofErr w:type="spellEnd"/>
      <w:r w:rsidRPr="00F525A5">
        <w:rPr>
          <w:rFonts w:cs="Times New Roman"/>
          <w:i/>
        </w:rPr>
        <w:t xml:space="preserve"> </w:t>
      </w:r>
      <w:proofErr w:type="spellStart"/>
      <w:r w:rsidRPr="00F525A5">
        <w:rPr>
          <w:rFonts w:cs="Times New Roman"/>
          <w:i/>
        </w:rPr>
        <w:t>resource</w:t>
      </w:r>
      <w:proofErr w:type="spellEnd"/>
      <w:r w:rsidRPr="00F525A5">
        <w:rPr>
          <w:rFonts w:cs="Times New Roman"/>
          <w:i/>
        </w:rPr>
        <w:t xml:space="preserve"> </w:t>
      </w:r>
      <w:proofErr w:type="spellStart"/>
      <w:r w:rsidRPr="00F525A5">
        <w:rPr>
          <w:rFonts w:cs="Times New Roman"/>
          <w:i/>
        </w:rPr>
        <w:t>development</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Přijatelnost pro veřejnost (</w:t>
      </w:r>
      <w:proofErr w:type="spellStart"/>
      <w:r w:rsidRPr="00F525A5">
        <w:rPr>
          <w:rFonts w:cs="Times New Roman"/>
          <w:i/>
        </w:rPr>
        <w:t>Stakeholder</w:t>
      </w:r>
      <w:proofErr w:type="spellEnd"/>
      <w:r w:rsidRPr="00F525A5">
        <w:rPr>
          <w:rFonts w:cs="Times New Roman"/>
          <w:i/>
        </w:rPr>
        <w:t xml:space="preserve"> </w:t>
      </w:r>
      <w:proofErr w:type="spellStart"/>
      <w:r w:rsidRPr="00F525A5">
        <w:rPr>
          <w:rFonts w:cs="Times New Roman"/>
          <w:i/>
        </w:rPr>
        <w:t>involvement</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Lokalita a po</w:t>
      </w:r>
      <w:r>
        <w:rPr>
          <w:rFonts w:cs="Times New Roman"/>
        </w:rPr>
        <w:t>d</w:t>
      </w:r>
      <w:r w:rsidRPr="00F525A5">
        <w:rPr>
          <w:rFonts w:cs="Times New Roman"/>
        </w:rPr>
        <w:t>půrná zařízení (</w:t>
      </w:r>
      <w:proofErr w:type="spellStart"/>
      <w:r w:rsidRPr="00F525A5">
        <w:rPr>
          <w:rFonts w:cs="Times New Roman"/>
        </w:rPr>
        <w:t>Site</w:t>
      </w:r>
      <w:proofErr w:type="spellEnd"/>
      <w:r w:rsidRPr="00F525A5">
        <w:rPr>
          <w:rFonts w:cs="Times New Roman"/>
        </w:rPr>
        <w:t xml:space="preserve"> and </w:t>
      </w:r>
      <w:proofErr w:type="spellStart"/>
      <w:r w:rsidRPr="00F525A5">
        <w:rPr>
          <w:rFonts w:cs="Times New Roman"/>
        </w:rPr>
        <w:t>supporting</w:t>
      </w:r>
      <w:proofErr w:type="spellEnd"/>
      <w:r w:rsidRPr="00F525A5">
        <w:rPr>
          <w:rFonts w:cs="Times New Roman"/>
        </w:rPr>
        <w:t xml:space="preserve"> </w:t>
      </w:r>
      <w:proofErr w:type="spellStart"/>
      <w:r w:rsidRPr="00F525A5">
        <w:rPr>
          <w:rFonts w:cs="Times New Roman"/>
        </w:rPr>
        <w:t>facilities</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Ochrana životního prostředí (</w:t>
      </w:r>
      <w:proofErr w:type="spellStart"/>
      <w:r w:rsidRPr="00F525A5">
        <w:rPr>
          <w:rFonts w:cs="Times New Roman"/>
          <w:i/>
        </w:rPr>
        <w:t>Environmental</w:t>
      </w:r>
      <w:proofErr w:type="spellEnd"/>
      <w:r w:rsidRPr="00F525A5">
        <w:rPr>
          <w:rFonts w:cs="Times New Roman"/>
          <w:i/>
        </w:rPr>
        <w:t xml:space="preserve"> </w:t>
      </w:r>
      <w:proofErr w:type="spellStart"/>
      <w:r w:rsidRPr="00F525A5">
        <w:rPr>
          <w:rFonts w:cs="Times New Roman"/>
          <w:i/>
        </w:rPr>
        <w:t>protection</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Havarijní plány (</w:t>
      </w:r>
      <w:proofErr w:type="spellStart"/>
      <w:r w:rsidRPr="00F525A5">
        <w:rPr>
          <w:rFonts w:cs="Times New Roman"/>
          <w:i/>
        </w:rPr>
        <w:t>Emergency</w:t>
      </w:r>
      <w:proofErr w:type="spellEnd"/>
      <w:r w:rsidRPr="00F525A5">
        <w:rPr>
          <w:rFonts w:cs="Times New Roman"/>
          <w:i/>
        </w:rPr>
        <w:t xml:space="preserve"> </w:t>
      </w:r>
      <w:proofErr w:type="spellStart"/>
      <w:r w:rsidRPr="00F525A5">
        <w:rPr>
          <w:rFonts w:cs="Times New Roman"/>
          <w:i/>
        </w:rPr>
        <w:t>planning</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Pr>
          <w:rFonts w:cs="Times New Roman"/>
        </w:rPr>
        <w:t>Fyzická ochrana</w:t>
      </w:r>
      <w:r w:rsidRPr="00F525A5">
        <w:rPr>
          <w:rFonts w:cs="Times New Roman"/>
        </w:rPr>
        <w:t xml:space="preserve"> (</w:t>
      </w:r>
      <w:proofErr w:type="spellStart"/>
      <w:r w:rsidRPr="00F525A5">
        <w:rPr>
          <w:rFonts w:cs="Times New Roman"/>
          <w:i/>
        </w:rPr>
        <w:t>Nuclear</w:t>
      </w:r>
      <w:proofErr w:type="spellEnd"/>
      <w:r w:rsidRPr="00F525A5">
        <w:rPr>
          <w:rFonts w:cs="Times New Roman"/>
          <w:i/>
        </w:rPr>
        <w:t xml:space="preserve"> </w:t>
      </w:r>
      <w:proofErr w:type="spellStart"/>
      <w:r w:rsidRPr="00F525A5">
        <w:rPr>
          <w:rFonts w:cs="Times New Roman"/>
          <w:i/>
        </w:rPr>
        <w:t>security</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Jaderný palivový cyklus (</w:t>
      </w:r>
      <w:proofErr w:type="spellStart"/>
      <w:r w:rsidRPr="00F525A5">
        <w:rPr>
          <w:rFonts w:cs="Times New Roman"/>
          <w:i/>
        </w:rPr>
        <w:t>Nuclear</w:t>
      </w:r>
      <w:proofErr w:type="spellEnd"/>
      <w:r w:rsidRPr="00F525A5">
        <w:rPr>
          <w:rFonts w:cs="Times New Roman"/>
          <w:i/>
        </w:rPr>
        <w:t xml:space="preserve"> </w:t>
      </w:r>
      <w:proofErr w:type="spellStart"/>
      <w:r w:rsidRPr="00F525A5">
        <w:rPr>
          <w:rFonts w:cs="Times New Roman"/>
          <w:i/>
        </w:rPr>
        <w:t>fuel</w:t>
      </w:r>
      <w:proofErr w:type="spellEnd"/>
      <w:r w:rsidRPr="00F525A5">
        <w:rPr>
          <w:rFonts w:cs="Times New Roman"/>
          <w:i/>
        </w:rPr>
        <w:t xml:space="preserve"> </w:t>
      </w:r>
      <w:proofErr w:type="spellStart"/>
      <w:r w:rsidRPr="00F525A5">
        <w:rPr>
          <w:rFonts w:cs="Times New Roman"/>
          <w:i/>
        </w:rPr>
        <w:t>cycle</w:t>
      </w:r>
      <w:proofErr w:type="spellEnd"/>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Nakládání s radioaktivními odpady (</w:t>
      </w:r>
      <w:proofErr w:type="spellStart"/>
      <w:r w:rsidRPr="00457A33">
        <w:rPr>
          <w:rFonts w:cs="Times New Roman"/>
          <w:i/>
        </w:rPr>
        <w:t>Radioactive</w:t>
      </w:r>
      <w:proofErr w:type="spellEnd"/>
      <w:r w:rsidRPr="00457A33">
        <w:rPr>
          <w:rFonts w:cs="Times New Roman"/>
          <w:i/>
        </w:rPr>
        <w:t xml:space="preserve"> </w:t>
      </w:r>
      <w:proofErr w:type="spellStart"/>
      <w:r w:rsidRPr="00457A33">
        <w:rPr>
          <w:rFonts w:cs="Times New Roman"/>
          <w:i/>
        </w:rPr>
        <w:t>waste</w:t>
      </w:r>
      <w:proofErr w:type="spellEnd"/>
      <w:r w:rsidRPr="00457A33">
        <w:rPr>
          <w:rFonts w:cs="Times New Roman"/>
          <w:i/>
        </w:rPr>
        <w:t xml:space="preserve"> management</w:t>
      </w:r>
      <w:r w:rsidRPr="00F525A5">
        <w:rPr>
          <w:rFonts w:cs="Times New Roman"/>
        </w:rPr>
        <w:t>)</w:t>
      </w:r>
    </w:p>
    <w:p w:rsidR="005959F1" w:rsidRPr="00F525A5" w:rsidRDefault="005959F1" w:rsidP="0044189F">
      <w:pPr>
        <w:pStyle w:val="Odstavecseseznamem"/>
        <w:numPr>
          <w:ilvl w:val="0"/>
          <w:numId w:val="24"/>
        </w:numPr>
        <w:spacing w:after="0"/>
        <w:ind w:left="851" w:hanging="426"/>
        <w:contextualSpacing w:val="0"/>
        <w:jc w:val="both"/>
        <w:rPr>
          <w:rFonts w:cs="Times New Roman"/>
        </w:rPr>
      </w:pPr>
      <w:r w:rsidRPr="00F525A5">
        <w:rPr>
          <w:rFonts w:cs="Times New Roman"/>
        </w:rPr>
        <w:t>Účast průmyslu (</w:t>
      </w:r>
      <w:proofErr w:type="spellStart"/>
      <w:r w:rsidRPr="00F525A5">
        <w:rPr>
          <w:rFonts w:cs="Times New Roman"/>
          <w:i/>
        </w:rPr>
        <w:t>Industrial</w:t>
      </w:r>
      <w:proofErr w:type="spellEnd"/>
      <w:r w:rsidRPr="00F525A5">
        <w:rPr>
          <w:rFonts w:cs="Times New Roman"/>
          <w:i/>
        </w:rPr>
        <w:t xml:space="preserve"> </w:t>
      </w:r>
      <w:proofErr w:type="spellStart"/>
      <w:r w:rsidRPr="00F525A5">
        <w:rPr>
          <w:rFonts w:cs="Times New Roman"/>
          <w:i/>
        </w:rPr>
        <w:t>involvement</w:t>
      </w:r>
      <w:proofErr w:type="spellEnd"/>
      <w:r w:rsidRPr="00F525A5">
        <w:rPr>
          <w:rFonts w:cs="Times New Roman"/>
        </w:rPr>
        <w:t>)</w:t>
      </w:r>
    </w:p>
    <w:p w:rsidR="00876EF9" w:rsidRDefault="005959F1" w:rsidP="0044189F">
      <w:pPr>
        <w:pStyle w:val="Odstavecseseznamem"/>
        <w:numPr>
          <w:ilvl w:val="0"/>
          <w:numId w:val="24"/>
        </w:numPr>
        <w:ind w:left="850" w:hanging="425"/>
        <w:contextualSpacing w:val="0"/>
        <w:jc w:val="both"/>
        <w:rPr>
          <w:rFonts w:cs="Times New Roman"/>
        </w:rPr>
      </w:pPr>
      <w:r>
        <w:rPr>
          <w:rFonts w:cs="Times New Roman"/>
        </w:rPr>
        <w:t>Systém zajištění dodávek</w:t>
      </w:r>
      <w:r w:rsidRPr="00F525A5">
        <w:rPr>
          <w:rFonts w:cs="Times New Roman"/>
        </w:rPr>
        <w:t xml:space="preserve"> (</w:t>
      </w:r>
      <w:proofErr w:type="spellStart"/>
      <w:r w:rsidRPr="00F525A5">
        <w:rPr>
          <w:rFonts w:cs="Times New Roman"/>
          <w:i/>
        </w:rPr>
        <w:t>Procurement</w:t>
      </w:r>
      <w:proofErr w:type="spellEnd"/>
      <w:r w:rsidRPr="00F525A5">
        <w:rPr>
          <w:rFonts w:cs="Times New Roman"/>
        </w:rPr>
        <w:t>)</w:t>
      </w:r>
    </w:p>
    <w:p w:rsidR="005959F1" w:rsidRPr="00F525A5" w:rsidRDefault="005959F1" w:rsidP="005959F1">
      <w:pPr>
        <w:jc w:val="both"/>
      </w:pPr>
      <w:r>
        <w:lastRenderedPageBreak/>
        <w:t>Z pohledu MAAE</w:t>
      </w:r>
      <w:r w:rsidR="003F2E34">
        <w:t xml:space="preserve"> </w:t>
      </w:r>
      <w:r>
        <w:t xml:space="preserve">existují </w:t>
      </w:r>
      <w:r w:rsidRPr="00F525A5">
        <w:rPr>
          <w:u w:val="single"/>
        </w:rPr>
        <w:t>tři hlavní subjekty</w:t>
      </w:r>
      <w:r>
        <w:t xml:space="preserve">, které mohou zajistit tuto infrastrukturu a na ní kladené požadavky (v souladu s dostupnými finančními zdroji a vynucovacími nástroji): </w:t>
      </w:r>
      <w:r w:rsidRPr="00033BE5">
        <w:rPr>
          <w:u w:val="single"/>
        </w:rPr>
        <w:t>vláda</w:t>
      </w:r>
      <w:r>
        <w:t xml:space="preserve">, </w:t>
      </w:r>
      <w:r w:rsidRPr="00033BE5">
        <w:rPr>
          <w:u w:val="single"/>
        </w:rPr>
        <w:t>majitel/provozovatel jaderných elektráren</w:t>
      </w:r>
      <w:r>
        <w:t xml:space="preserve"> a </w:t>
      </w:r>
      <w:r w:rsidRPr="00033BE5">
        <w:rPr>
          <w:u w:val="single"/>
        </w:rPr>
        <w:t>dostatečně nezávislý dozor nad jadernou bezpečností</w:t>
      </w:r>
      <w:r>
        <w:t xml:space="preserve">. </w:t>
      </w:r>
    </w:p>
    <w:p w:rsidR="005959F1" w:rsidRPr="00F525A5" w:rsidRDefault="005959F1" w:rsidP="005959F1">
      <w:pPr>
        <w:jc w:val="both"/>
      </w:pPr>
      <w:r w:rsidRPr="00F525A5">
        <w:t>Rol</w:t>
      </w:r>
      <w:r w:rsidR="00C223D0">
        <w:t>y</w:t>
      </w:r>
      <w:r w:rsidRPr="00F525A5">
        <w:t xml:space="preserve"> jednotlivých subjektů </w:t>
      </w:r>
      <w:r w:rsidR="00C223D0">
        <w:t xml:space="preserve">uvádí </w:t>
      </w:r>
      <w:r w:rsidR="00C223D0">
        <w:fldChar w:fldCharType="begin"/>
      </w:r>
      <w:r w:rsidR="00C223D0">
        <w:instrText xml:space="preserve"> REF _Ref408845129 \h </w:instrText>
      </w:r>
      <w:r w:rsidR="00C223D0">
        <w:fldChar w:fldCharType="separate"/>
      </w:r>
      <w:r w:rsidR="007B491F" w:rsidRPr="00C223D0">
        <w:t xml:space="preserve">Obrázek č. </w:t>
      </w:r>
      <w:r w:rsidR="007B491F">
        <w:rPr>
          <w:noProof/>
        </w:rPr>
        <w:t>1</w:t>
      </w:r>
      <w:r w:rsidR="00C223D0">
        <w:fldChar w:fldCharType="end"/>
      </w:r>
      <w:r w:rsidRPr="00F525A5">
        <w:t>:</w:t>
      </w:r>
    </w:p>
    <w:p w:rsidR="00C223D0" w:rsidRPr="00C223D0" w:rsidRDefault="00C223D0" w:rsidP="00C223D0">
      <w:pPr>
        <w:pStyle w:val="Titulek"/>
        <w:keepNext/>
        <w:jc w:val="both"/>
        <w:rPr>
          <w:color w:val="auto"/>
          <w:sz w:val="22"/>
        </w:rPr>
      </w:pPr>
      <w:bookmarkStart w:id="6" w:name="_Ref408845129"/>
      <w:bookmarkStart w:id="7" w:name="_Toc420058331"/>
      <w:r w:rsidRPr="00C223D0">
        <w:rPr>
          <w:color w:val="auto"/>
          <w:sz w:val="22"/>
        </w:rPr>
        <w:t xml:space="preserve">Obrázek č. </w:t>
      </w:r>
      <w:r w:rsidRPr="00C223D0">
        <w:rPr>
          <w:color w:val="auto"/>
          <w:sz w:val="22"/>
        </w:rPr>
        <w:fldChar w:fldCharType="begin"/>
      </w:r>
      <w:r w:rsidRPr="00C223D0">
        <w:rPr>
          <w:color w:val="auto"/>
          <w:sz w:val="22"/>
        </w:rPr>
        <w:instrText xml:space="preserve"> SEQ Obrázek_č. \* ARABIC </w:instrText>
      </w:r>
      <w:r w:rsidRPr="00C223D0">
        <w:rPr>
          <w:color w:val="auto"/>
          <w:sz w:val="22"/>
        </w:rPr>
        <w:fldChar w:fldCharType="separate"/>
      </w:r>
      <w:r w:rsidR="007B491F">
        <w:rPr>
          <w:noProof/>
          <w:color w:val="auto"/>
          <w:sz w:val="22"/>
        </w:rPr>
        <w:t>1</w:t>
      </w:r>
      <w:r w:rsidRPr="00C223D0">
        <w:rPr>
          <w:color w:val="auto"/>
          <w:sz w:val="22"/>
        </w:rPr>
        <w:fldChar w:fldCharType="end"/>
      </w:r>
      <w:bookmarkEnd w:id="6"/>
      <w:r>
        <w:rPr>
          <w:color w:val="auto"/>
          <w:sz w:val="22"/>
        </w:rPr>
        <w:t xml:space="preserve">: </w:t>
      </w:r>
      <w:r w:rsidRPr="00C223D0">
        <w:rPr>
          <w:b w:val="0"/>
          <w:i/>
          <w:color w:val="auto"/>
          <w:sz w:val="22"/>
          <w:szCs w:val="22"/>
        </w:rPr>
        <w:t>Role jednotlivých subjektů</w:t>
      </w:r>
      <w:bookmarkEnd w:id="7"/>
    </w:p>
    <w:p w:rsidR="006677BF" w:rsidRDefault="007574C5" w:rsidP="006677BF">
      <w:pPr>
        <w:jc w:val="both"/>
        <w:rPr>
          <w:szCs w:val="20"/>
        </w:rPr>
      </w:pPr>
      <w:r w:rsidRPr="007574C5">
        <w:rPr>
          <w:noProof/>
          <w:lang w:eastAsia="cs-CZ"/>
        </w:rPr>
        <w:drawing>
          <wp:inline distT="0" distB="0" distL="0" distR="0" wp14:anchorId="2AC198F8" wp14:editId="60162B99">
            <wp:extent cx="5760720" cy="588978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889789"/>
                    </a:xfrm>
                    <a:prstGeom prst="rect">
                      <a:avLst/>
                    </a:prstGeom>
                    <a:noFill/>
                    <a:ln>
                      <a:noFill/>
                    </a:ln>
                  </pic:spPr>
                </pic:pic>
              </a:graphicData>
            </a:graphic>
          </wp:inline>
        </w:drawing>
      </w:r>
      <w:r w:rsidR="006677BF">
        <w:rPr>
          <w:szCs w:val="20"/>
        </w:rPr>
        <w:br w:type="page"/>
      </w:r>
    </w:p>
    <w:p w:rsidR="006677BF" w:rsidRPr="000B2CCA" w:rsidRDefault="005959F1" w:rsidP="006677BF">
      <w:pPr>
        <w:pStyle w:val="Nadpis1"/>
      </w:pPr>
      <w:bookmarkStart w:id="8" w:name="_Toc407035540"/>
      <w:bookmarkStart w:id="9" w:name="_Toc420055984"/>
      <w:r w:rsidRPr="000B2CCA">
        <w:lastRenderedPageBreak/>
        <w:t>P</w:t>
      </w:r>
      <w:r w:rsidR="00403E3C" w:rsidRPr="000B2CCA">
        <w:t xml:space="preserve">odmínky pro </w:t>
      </w:r>
      <w:r w:rsidR="003E00F9" w:rsidRPr="000B2CCA">
        <w:t xml:space="preserve">zajištění </w:t>
      </w:r>
      <w:r w:rsidR="00961B82" w:rsidRPr="000B2CCA">
        <w:t>udržiteln</w:t>
      </w:r>
      <w:r w:rsidR="003E00F9" w:rsidRPr="000B2CCA">
        <w:t xml:space="preserve">ého rozvoje </w:t>
      </w:r>
      <w:r w:rsidR="00403E3C" w:rsidRPr="000B2CCA">
        <w:t>jadern</w:t>
      </w:r>
      <w:r w:rsidR="003E00F9" w:rsidRPr="000B2CCA">
        <w:t>é</w:t>
      </w:r>
      <w:r w:rsidR="00403E3C" w:rsidRPr="000B2CCA">
        <w:t xml:space="preserve"> energetik</w:t>
      </w:r>
      <w:r w:rsidR="003E00F9" w:rsidRPr="000B2CCA">
        <w:t>y</w:t>
      </w:r>
      <w:bookmarkEnd w:id="8"/>
      <w:bookmarkEnd w:id="9"/>
    </w:p>
    <w:p w:rsidR="00F55B18" w:rsidRPr="000B2CCA" w:rsidRDefault="008F03A4" w:rsidP="00050251">
      <w:pPr>
        <w:pStyle w:val="Nadpis2"/>
      </w:pPr>
      <w:bookmarkStart w:id="10" w:name="_Toc407035542"/>
      <w:bookmarkStart w:id="11" w:name="_Toc420055985"/>
      <w:r w:rsidRPr="000B2CCA">
        <w:t xml:space="preserve">Jaderná bezpečnost </w:t>
      </w:r>
      <w:r w:rsidR="00961B82" w:rsidRPr="000B2CCA">
        <w:t>na špičkové úrovni</w:t>
      </w:r>
      <w:bookmarkEnd w:id="10"/>
      <w:bookmarkEnd w:id="11"/>
      <w:r w:rsidR="001D4370" w:rsidRPr="000B2CCA">
        <w:t xml:space="preserve"> </w:t>
      </w:r>
    </w:p>
    <w:p w:rsidR="001F628C" w:rsidRPr="000B2CCA" w:rsidRDefault="00B104A9" w:rsidP="001F628C">
      <w:pPr>
        <w:jc w:val="both"/>
        <w:rPr>
          <w:rFonts w:ascii="Calibri" w:hAnsi="Calibri" w:cs="Calibri"/>
        </w:rPr>
      </w:pPr>
      <w:r w:rsidRPr="000B2CCA">
        <w:rPr>
          <w:rFonts w:ascii="Calibri" w:hAnsi="Calibri"/>
        </w:rPr>
        <w:t xml:space="preserve">Jaderná bezpečnost </w:t>
      </w:r>
      <w:r w:rsidR="00013DB0">
        <w:rPr>
          <w:rFonts w:ascii="Calibri" w:hAnsi="Calibri"/>
        </w:rPr>
        <w:t xml:space="preserve">v rámci </w:t>
      </w:r>
      <w:r w:rsidRPr="000B2CCA">
        <w:rPr>
          <w:rFonts w:ascii="Calibri" w:hAnsi="Calibri"/>
        </w:rPr>
        <w:t xml:space="preserve">celého palivového cyklu je nejvyšší prioritou jaderného sektoru z pohledu státu. </w:t>
      </w:r>
      <w:r w:rsidR="00050251" w:rsidRPr="000B2CCA">
        <w:rPr>
          <w:rFonts w:ascii="Calibri" w:hAnsi="Calibri"/>
        </w:rPr>
        <w:t>Zajištění jaderné bezpečnosti je závazkem pro všechny subjekty, vládu, vlastníka/provozovatele jaderné elektrárny, dozor nad jadernou bezpečností, dodavatele jaderných technologií a zařízení a</w:t>
      </w:r>
      <w:r w:rsidR="00C223D0">
        <w:rPr>
          <w:rFonts w:ascii="Calibri" w:hAnsi="Calibri"/>
        </w:rPr>
        <w:t> </w:t>
      </w:r>
      <w:r w:rsidR="00050251" w:rsidRPr="000B2CCA">
        <w:rPr>
          <w:rFonts w:ascii="Calibri" w:hAnsi="Calibri"/>
        </w:rPr>
        <w:t>ostatní organizace</w:t>
      </w:r>
      <w:r w:rsidR="00091972">
        <w:rPr>
          <w:rFonts w:ascii="Calibri" w:hAnsi="Calibri"/>
        </w:rPr>
        <w:t xml:space="preserve"> a musí být realizováno</w:t>
      </w:r>
      <w:r w:rsidR="00050251" w:rsidRPr="000B2CCA">
        <w:rPr>
          <w:rFonts w:ascii="Calibri" w:hAnsi="Calibri"/>
        </w:rPr>
        <w:t xml:space="preserve"> ve všech segmentech programu rozvoje jaderné energetiky. </w:t>
      </w:r>
      <w:r w:rsidR="001F628C" w:rsidRPr="000B2CCA">
        <w:t xml:space="preserve">Požadavky na jadernou bezpečnost definují MAAE a </w:t>
      </w:r>
      <w:proofErr w:type="spellStart"/>
      <w:r w:rsidR="000814CF">
        <w:t>Nuc</w:t>
      </w:r>
      <w:r w:rsidR="00D466E0">
        <w:t>l</w:t>
      </w:r>
      <w:r w:rsidR="000814CF">
        <w:t>ear</w:t>
      </w:r>
      <w:proofErr w:type="spellEnd"/>
      <w:r w:rsidR="000814CF">
        <w:t xml:space="preserve"> </w:t>
      </w:r>
      <w:proofErr w:type="spellStart"/>
      <w:r w:rsidR="000814CF">
        <w:t>Energy</w:t>
      </w:r>
      <w:proofErr w:type="spellEnd"/>
      <w:r w:rsidR="000814CF">
        <w:t xml:space="preserve"> </w:t>
      </w:r>
      <w:proofErr w:type="spellStart"/>
      <w:r w:rsidR="000814CF">
        <w:t>Agency</w:t>
      </w:r>
      <w:proofErr w:type="spellEnd"/>
      <w:r w:rsidR="000814CF">
        <w:t xml:space="preserve"> (</w:t>
      </w:r>
      <w:r w:rsidR="001F628C" w:rsidRPr="000B2CCA">
        <w:t>NEA</w:t>
      </w:r>
      <w:r w:rsidR="000814CF">
        <w:t>)</w:t>
      </w:r>
      <w:r w:rsidR="002B6E1A">
        <w:t>.</w:t>
      </w:r>
    </w:p>
    <w:p w:rsidR="00050251" w:rsidRPr="004F7BF0" w:rsidRDefault="00050251" w:rsidP="00BC3379">
      <w:pPr>
        <w:jc w:val="both"/>
        <w:rPr>
          <w:rFonts w:cstheme="minorHAnsi"/>
        </w:rPr>
      </w:pPr>
      <w:r w:rsidRPr="000B2CCA">
        <w:t xml:space="preserve">ČR </w:t>
      </w:r>
      <w:r w:rsidR="00BC3379" w:rsidRPr="000B2CCA">
        <w:t xml:space="preserve">má </w:t>
      </w:r>
      <w:r w:rsidRPr="000B2CCA">
        <w:t>vytvořen</w:t>
      </w:r>
      <w:r w:rsidR="00BC3379" w:rsidRPr="000B2CCA">
        <w:t>ý</w:t>
      </w:r>
      <w:r w:rsidRPr="000B2CCA">
        <w:t xml:space="preserve"> požadovaný systém</w:t>
      </w:r>
      <w:r w:rsidR="00343FC2">
        <w:t>,</w:t>
      </w:r>
      <w:r w:rsidRPr="000B2CCA">
        <w:t xml:space="preserve"> v celkovém hodnocení patří ke špičce ve střední a východní Evropě a </w:t>
      </w:r>
      <w:r w:rsidR="00E73F08" w:rsidRPr="000B2CCA">
        <w:t>nadprůměrná je i v rámci zemí</w:t>
      </w:r>
      <w:r w:rsidRPr="000B2CCA">
        <w:t xml:space="preserve"> NEA. </w:t>
      </w:r>
      <w:r w:rsidR="00BC3379" w:rsidRPr="000B2CCA">
        <w:t>Tomu napomáhá zavedený</w:t>
      </w:r>
      <w:r w:rsidRPr="000B2CCA">
        <w:rPr>
          <w:rFonts w:cstheme="minorHAnsi"/>
        </w:rPr>
        <w:t xml:space="preserve"> právní rámec a</w:t>
      </w:r>
      <w:r w:rsidR="00C223D0">
        <w:rPr>
          <w:rFonts w:cstheme="minorHAnsi"/>
        </w:rPr>
        <w:t> </w:t>
      </w:r>
      <w:r w:rsidR="00E967AE" w:rsidRPr="000B2CCA">
        <w:rPr>
          <w:rFonts w:cstheme="minorHAnsi"/>
        </w:rPr>
        <w:t xml:space="preserve">existence </w:t>
      </w:r>
      <w:r w:rsidRPr="000B2CCA">
        <w:rPr>
          <w:rFonts w:cstheme="minorHAnsi"/>
        </w:rPr>
        <w:t>nezávisl</w:t>
      </w:r>
      <w:r w:rsidR="00E967AE" w:rsidRPr="000B2CCA">
        <w:rPr>
          <w:rFonts w:cstheme="minorHAnsi"/>
        </w:rPr>
        <w:t>ého</w:t>
      </w:r>
      <w:r w:rsidRPr="000B2CCA">
        <w:rPr>
          <w:rFonts w:cstheme="minorHAnsi"/>
        </w:rPr>
        <w:t xml:space="preserve"> dozor</w:t>
      </w:r>
      <w:r w:rsidR="00E967AE" w:rsidRPr="000B2CCA">
        <w:rPr>
          <w:rFonts w:cstheme="minorHAnsi"/>
        </w:rPr>
        <w:t>u</w:t>
      </w:r>
      <w:r w:rsidR="00950590">
        <w:rPr>
          <w:rFonts w:cstheme="minorHAnsi"/>
        </w:rPr>
        <w:t xml:space="preserve"> v podobě Státního úřadu pro jadernou bezpečnost</w:t>
      </w:r>
      <w:r w:rsidRPr="000B2CCA">
        <w:rPr>
          <w:rFonts w:cstheme="minorHAnsi"/>
        </w:rPr>
        <w:t xml:space="preserve"> (SÚJB). </w:t>
      </w:r>
      <w:r w:rsidR="00BC3379" w:rsidRPr="000B2CCA">
        <w:rPr>
          <w:rFonts w:cstheme="minorHAnsi"/>
        </w:rPr>
        <w:t>Rovněž p</w:t>
      </w:r>
      <w:r w:rsidRPr="000B2CCA">
        <w:rPr>
          <w:rFonts w:cstheme="minorHAnsi"/>
        </w:rPr>
        <w:t xml:space="preserve">rovozovatelé </w:t>
      </w:r>
      <w:r w:rsidR="00343FC2" w:rsidRPr="000B2CCA">
        <w:rPr>
          <w:rFonts w:cstheme="minorHAnsi"/>
        </w:rPr>
        <w:t xml:space="preserve">jaderných </w:t>
      </w:r>
      <w:r w:rsidRPr="000B2CCA">
        <w:rPr>
          <w:rFonts w:cstheme="minorHAnsi"/>
        </w:rPr>
        <w:t>zařízení (ČEZ, a. s., ÚJV Řež a.s., CV Řež, s.r.o.) naplňují požadavky kladené na</w:t>
      </w:r>
      <w:r w:rsidRPr="004F7BF0">
        <w:rPr>
          <w:rFonts w:cstheme="minorHAnsi"/>
        </w:rPr>
        <w:t xml:space="preserve"> ně zákonem a mezinárodními závazky ČR.</w:t>
      </w:r>
    </w:p>
    <w:p w:rsidR="00050251" w:rsidRDefault="00050251" w:rsidP="00050251">
      <w:pPr>
        <w:jc w:val="both"/>
        <w:rPr>
          <w:rFonts w:ascii="Calibri" w:hAnsi="Calibri"/>
        </w:rPr>
      </w:pPr>
      <w:r>
        <w:rPr>
          <w:rFonts w:ascii="Calibri" w:hAnsi="Calibri"/>
        </w:rPr>
        <w:t xml:space="preserve">Roli vlády v oblasti jaderné energetiky </w:t>
      </w:r>
      <w:r w:rsidR="00611FB2">
        <w:rPr>
          <w:rFonts w:ascii="Calibri" w:hAnsi="Calibri"/>
        </w:rPr>
        <w:t xml:space="preserve">reprezentuje </w:t>
      </w:r>
      <w:r>
        <w:rPr>
          <w:rFonts w:ascii="Calibri" w:hAnsi="Calibri"/>
        </w:rPr>
        <w:t xml:space="preserve">MPO. Zodpovídá za oblast nakládaní s radioaktivními odpady </w:t>
      </w:r>
      <w:r w:rsidR="002B6E1A">
        <w:rPr>
          <w:rFonts w:ascii="Calibri" w:hAnsi="Calibri"/>
        </w:rPr>
        <w:t>prostřednictvím</w:t>
      </w:r>
      <w:r w:rsidR="00E91926">
        <w:rPr>
          <w:rFonts w:ascii="Calibri" w:hAnsi="Calibri"/>
        </w:rPr>
        <w:t xml:space="preserve"> Správy úložišť</w:t>
      </w:r>
      <w:r w:rsidR="00E91926" w:rsidRPr="00E91926">
        <w:t xml:space="preserve"> </w:t>
      </w:r>
      <w:r w:rsidR="00E91926" w:rsidRPr="00E91926">
        <w:rPr>
          <w:rFonts w:ascii="Calibri" w:hAnsi="Calibri"/>
        </w:rPr>
        <w:t>radioaktivních odpadů</w:t>
      </w:r>
      <w:r>
        <w:rPr>
          <w:rFonts w:ascii="Calibri" w:hAnsi="Calibri"/>
        </w:rPr>
        <w:t xml:space="preserve"> </w:t>
      </w:r>
      <w:r w:rsidR="00E91926">
        <w:rPr>
          <w:rFonts w:ascii="Calibri" w:hAnsi="Calibri"/>
        </w:rPr>
        <w:t>(</w:t>
      </w:r>
      <w:r>
        <w:rPr>
          <w:rFonts w:ascii="Calibri" w:hAnsi="Calibri"/>
        </w:rPr>
        <w:t>SÚRAO), zajišťuje dohled na</w:t>
      </w:r>
      <w:r w:rsidR="003F2E34">
        <w:rPr>
          <w:rFonts w:ascii="Calibri" w:hAnsi="Calibri"/>
        </w:rPr>
        <w:t>d</w:t>
      </w:r>
      <w:r>
        <w:rPr>
          <w:rFonts w:ascii="Calibri" w:hAnsi="Calibri"/>
        </w:rPr>
        <w:t xml:space="preserve"> DIAMO </w:t>
      </w:r>
      <w:proofErr w:type="spellStart"/>
      <w:proofErr w:type="gramStart"/>
      <w:r>
        <w:rPr>
          <w:rFonts w:ascii="Calibri" w:hAnsi="Calibri"/>
        </w:rPr>
        <w:t>s.p</w:t>
      </w:r>
      <w:proofErr w:type="spellEnd"/>
      <w:r>
        <w:rPr>
          <w:rFonts w:ascii="Calibri" w:hAnsi="Calibri"/>
        </w:rPr>
        <w:t>.</w:t>
      </w:r>
      <w:proofErr w:type="gramEnd"/>
      <w:r>
        <w:rPr>
          <w:rFonts w:ascii="Calibri" w:hAnsi="Calibri"/>
        </w:rPr>
        <w:t xml:space="preserve">, které vyjma jiného těží uran a zajišťuje sanace po dřívější těžbě, </w:t>
      </w:r>
      <w:r w:rsidR="00286F7C">
        <w:rPr>
          <w:rFonts w:ascii="Calibri" w:hAnsi="Calibri"/>
        </w:rPr>
        <w:t>či zprostředkovává</w:t>
      </w:r>
      <w:r w:rsidR="00DB03CC">
        <w:rPr>
          <w:rFonts w:ascii="Calibri" w:hAnsi="Calibri"/>
        </w:rPr>
        <w:t xml:space="preserve"> </w:t>
      </w:r>
      <w:r>
        <w:rPr>
          <w:rFonts w:ascii="Calibri" w:hAnsi="Calibri"/>
        </w:rPr>
        <w:t>mezinárodní spolupráci v oblasti jaderné energetiky (NEA a dvoustranné smlouvy o</w:t>
      </w:r>
      <w:r w:rsidR="002B6E1A">
        <w:rPr>
          <w:rFonts w:ascii="Calibri" w:hAnsi="Calibri"/>
        </w:rPr>
        <w:t> </w:t>
      </w:r>
      <w:r>
        <w:rPr>
          <w:rFonts w:ascii="Calibri" w:hAnsi="Calibri"/>
        </w:rPr>
        <w:t>spolupráci s</w:t>
      </w:r>
      <w:r w:rsidR="00BC3379">
        <w:rPr>
          <w:rFonts w:ascii="Calibri" w:hAnsi="Calibri"/>
        </w:rPr>
        <w:t> řadou států).</w:t>
      </w:r>
    </w:p>
    <w:p w:rsidR="00050251" w:rsidRDefault="00050251" w:rsidP="00050251">
      <w:pPr>
        <w:jc w:val="both"/>
        <w:rPr>
          <w:rFonts w:ascii="Calibri" w:hAnsi="Calibri"/>
        </w:rPr>
      </w:pPr>
      <w:r>
        <w:rPr>
          <w:rFonts w:ascii="Calibri" w:hAnsi="Calibri"/>
        </w:rPr>
        <w:t xml:space="preserve">Dozor nad jadernou bezpečností </w:t>
      </w:r>
      <w:r w:rsidR="00DB03CC">
        <w:rPr>
          <w:rFonts w:ascii="Calibri" w:hAnsi="Calibri"/>
        </w:rPr>
        <w:t xml:space="preserve">v ČR </w:t>
      </w:r>
      <w:r>
        <w:rPr>
          <w:rFonts w:ascii="Calibri" w:hAnsi="Calibri"/>
        </w:rPr>
        <w:t xml:space="preserve">zajišťuje SÚJB, </w:t>
      </w:r>
      <w:r w:rsidR="00286F7C">
        <w:rPr>
          <w:rFonts w:ascii="Calibri" w:hAnsi="Calibri"/>
        </w:rPr>
        <w:t xml:space="preserve">přičemž je potřeba, </w:t>
      </w:r>
      <w:r>
        <w:rPr>
          <w:rFonts w:ascii="Calibri" w:hAnsi="Calibri"/>
        </w:rPr>
        <w:t>v dobře definovaném legislativním rámci</w:t>
      </w:r>
      <w:r w:rsidR="00286F7C">
        <w:rPr>
          <w:rFonts w:ascii="Calibri" w:hAnsi="Calibri"/>
        </w:rPr>
        <w:t>,</w:t>
      </w:r>
      <w:r w:rsidR="00BC3379">
        <w:rPr>
          <w:rFonts w:ascii="Calibri" w:hAnsi="Calibri"/>
        </w:rPr>
        <w:t xml:space="preserve"> i nadále udržet jeho vybavení vysoce</w:t>
      </w:r>
      <w:r>
        <w:rPr>
          <w:rFonts w:ascii="Calibri" w:hAnsi="Calibri"/>
        </w:rPr>
        <w:t xml:space="preserve"> kvalifikovaným personálem</w:t>
      </w:r>
      <w:r w:rsidR="0055176B">
        <w:rPr>
          <w:rFonts w:ascii="Calibri" w:hAnsi="Calibri"/>
        </w:rPr>
        <w:t xml:space="preserve"> a rozvíjet </w:t>
      </w:r>
      <w:r>
        <w:rPr>
          <w:rFonts w:ascii="Calibri" w:hAnsi="Calibri"/>
        </w:rPr>
        <w:t xml:space="preserve">mezinárodní spoluprací </w:t>
      </w:r>
      <w:r w:rsidR="0055176B">
        <w:rPr>
          <w:rFonts w:ascii="Calibri" w:hAnsi="Calibri"/>
        </w:rPr>
        <w:t xml:space="preserve">s cílem sdílení nejnovějších informací a tzv. </w:t>
      </w:r>
      <w:proofErr w:type="spellStart"/>
      <w:r w:rsidR="0055176B" w:rsidRPr="0044189F">
        <w:rPr>
          <w:rFonts w:ascii="Calibri" w:hAnsi="Calibri"/>
          <w:i/>
        </w:rPr>
        <w:t>best</w:t>
      </w:r>
      <w:proofErr w:type="spellEnd"/>
      <w:r w:rsidR="0055176B" w:rsidRPr="0044189F">
        <w:rPr>
          <w:rFonts w:ascii="Calibri" w:hAnsi="Calibri"/>
          <w:i/>
        </w:rPr>
        <w:t xml:space="preserve"> </w:t>
      </w:r>
      <w:proofErr w:type="spellStart"/>
      <w:r w:rsidR="0055176B" w:rsidRPr="0044189F">
        <w:rPr>
          <w:rFonts w:ascii="Calibri" w:hAnsi="Calibri"/>
          <w:i/>
        </w:rPr>
        <w:t>practices</w:t>
      </w:r>
      <w:proofErr w:type="spellEnd"/>
      <w:r w:rsidR="0055176B">
        <w:rPr>
          <w:rFonts w:ascii="Calibri" w:hAnsi="Calibri"/>
        </w:rPr>
        <w:t xml:space="preserve"> </w:t>
      </w:r>
      <w:r w:rsidR="0044189F">
        <w:rPr>
          <w:rFonts w:ascii="Calibri" w:hAnsi="Calibri"/>
        </w:rPr>
        <w:t>(</w:t>
      </w:r>
      <w:r w:rsidR="00225A6A" w:rsidRPr="00225A6A">
        <w:rPr>
          <w:rFonts w:ascii="Calibri" w:hAnsi="Calibri"/>
        </w:rPr>
        <w:t xml:space="preserve">Western </w:t>
      </w:r>
      <w:proofErr w:type="spellStart"/>
      <w:r w:rsidR="00225A6A" w:rsidRPr="00225A6A">
        <w:rPr>
          <w:rFonts w:ascii="Calibri" w:hAnsi="Calibri"/>
        </w:rPr>
        <w:t>European</w:t>
      </w:r>
      <w:proofErr w:type="spellEnd"/>
      <w:r w:rsidR="00225A6A" w:rsidRPr="00225A6A">
        <w:rPr>
          <w:rFonts w:ascii="Calibri" w:hAnsi="Calibri"/>
        </w:rPr>
        <w:t xml:space="preserve"> </w:t>
      </w:r>
      <w:proofErr w:type="spellStart"/>
      <w:r w:rsidR="00225A6A" w:rsidRPr="00225A6A">
        <w:rPr>
          <w:rFonts w:ascii="Calibri" w:hAnsi="Calibri"/>
        </w:rPr>
        <w:t>Nuclear</w:t>
      </w:r>
      <w:proofErr w:type="spellEnd"/>
      <w:r w:rsidR="00225A6A" w:rsidRPr="00225A6A">
        <w:rPr>
          <w:rFonts w:ascii="Calibri" w:hAnsi="Calibri"/>
        </w:rPr>
        <w:t xml:space="preserve"> </w:t>
      </w:r>
      <w:proofErr w:type="spellStart"/>
      <w:r w:rsidR="00225A6A" w:rsidRPr="00225A6A">
        <w:rPr>
          <w:rFonts w:ascii="Calibri" w:hAnsi="Calibri"/>
        </w:rPr>
        <w:t>Regulators</w:t>
      </w:r>
      <w:proofErr w:type="spellEnd"/>
      <w:r w:rsidR="00225A6A" w:rsidRPr="00225A6A">
        <w:rPr>
          <w:rFonts w:ascii="Calibri" w:hAnsi="Calibri"/>
        </w:rPr>
        <w:t xml:space="preserve"> </w:t>
      </w:r>
      <w:proofErr w:type="spellStart"/>
      <w:r w:rsidR="00225A6A" w:rsidRPr="00225A6A">
        <w:rPr>
          <w:rFonts w:ascii="Calibri" w:hAnsi="Calibri"/>
        </w:rPr>
        <w:t>Association</w:t>
      </w:r>
      <w:proofErr w:type="spellEnd"/>
      <w:r w:rsidR="00225A6A" w:rsidRPr="00225A6A">
        <w:rPr>
          <w:rFonts w:ascii="Calibri" w:hAnsi="Calibri"/>
        </w:rPr>
        <w:t xml:space="preserve"> </w:t>
      </w:r>
      <w:r w:rsidR="00225A6A">
        <w:rPr>
          <w:szCs w:val="20"/>
        </w:rPr>
        <w:t xml:space="preserve">– </w:t>
      </w:r>
      <w:r w:rsidR="0044189F">
        <w:rPr>
          <w:rFonts w:ascii="Calibri" w:hAnsi="Calibri"/>
        </w:rPr>
        <w:t xml:space="preserve">WENRA, </w:t>
      </w:r>
      <w:proofErr w:type="spellStart"/>
      <w:r w:rsidR="00225A6A" w:rsidRPr="00225A6A">
        <w:rPr>
          <w:rFonts w:ascii="Calibri" w:hAnsi="Calibri"/>
        </w:rPr>
        <w:t>European</w:t>
      </w:r>
      <w:proofErr w:type="spellEnd"/>
      <w:r w:rsidR="00225A6A" w:rsidRPr="00225A6A">
        <w:rPr>
          <w:rFonts w:ascii="Calibri" w:hAnsi="Calibri"/>
        </w:rPr>
        <w:t xml:space="preserve"> </w:t>
      </w:r>
      <w:proofErr w:type="spellStart"/>
      <w:r w:rsidR="00225A6A" w:rsidRPr="00225A6A">
        <w:rPr>
          <w:rFonts w:ascii="Calibri" w:hAnsi="Calibri"/>
        </w:rPr>
        <w:t>Nuclear</w:t>
      </w:r>
      <w:proofErr w:type="spellEnd"/>
      <w:r w:rsidR="00225A6A" w:rsidRPr="00225A6A">
        <w:rPr>
          <w:rFonts w:ascii="Calibri" w:hAnsi="Calibri"/>
        </w:rPr>
        <w:t xml:space="preserve"> </w:t>
      </w:r>
      <w:proofErr w:type="spellStart"/>
      <w:r w:rsidR="00225A6A" w:rsidRPr="00225A6A">
        <w:rPr>
          <w:rFonts w:ascii="Calibri" w:hAnsi="Calibri"/>
        </w:rPr>
        <w:t>Safety</w:t>
      </w:r>
      <w:proofErr w:type="spellEnd"/>
      <w:r w:rsidR="00225A6A" w:rsidRPr="00225A6A">
        <w:rPr>
          <w:rFonts w:ascii="Calibri" w:hAnsi="Calibri"/>
        </w:rPr>
        <w:t xml:space="preserve"> </w:t>
      </w:r>
      <w:proofErr w:type="spellStart"/>
      <w:r w:rsidR="00225A6A" w:rsidRPr="00225A6A">
        <w:rPr>
          <w:rFonts w:ascii="Calibri" w:hAnsi="Calibri"/>
        </w:rPr>
        <w:t>Regulators</w:t>
      </w:r>
      <w:proofErr w:type="spellEnd"/>
      <w:r w:rsidR="00225A6A" w:rsidRPr="00225A6A">
        <w:rPr>
          <w:rFonts w:ascii="Calibri" w:hAnsi="Calibri"/>
        </w:rPr>
        <w:t xml:space="preserve"> Group </w:t>
      </w:r>
      <w:r w:rsidR="00225A6A">
        <w:rPr>
          <w:szCs w:val="20"/>
        </w:rPr>
        <w:t xml:space="preserve">– </w:t>
      </w:r>
      <w:r w:rsidR="0044189F">
        <w:rPr>
          <w:rFonts w:ascii="Calibri" w:hAnsi="Calibri"/>
        </w:rPr>
        <w:t>ENSREG</w:t>
      </w:r>
      <w:r w:rsidR="002B6E1A">
        <w:rPr>
          <w:rFonts w:ascii="Calibri" w:hAnsi="Calibri"/>
        </w:rPr>
        <w:t>,</w:t>
      </w:r>
      <w:r w:rsidR="00225A6A">
        <w:rPr>
          <w:rFonts w:ascii="Calibri" w:hAnsi="Calibri"/>
        </w:rPr>
        <w:t xml:space="preserve"> atd.).</w:t>
      </w:r>
    </w:p>
    <w:p w:rsidR="00050251" w:rsidRPr="00241F03" w:rsidRDefault="00DD3A67" w:rsidP="00050251">
      <w:pPr>
        <w:jc w:val="both"/>
        <w:rPr>
          <w:rFonts w:ascii="Calibri" w:hAnsi="Calibri"/>
        </w:rPr>
      </w:pPr>
      <w:r>
        <w:rPr>
          <w:rFonts w:ascii="Calibri" w:hAnsi="Calibri"/>
        </w:rPr>
        <w:t xml:space="preserve">Je vhodné zvážit možnost jiného přístupu k </w:t>
      </w:r>
      <w:r w:rsidR="00050251" w:rsidRPr="00241F03">
        <w:rPr>
          <w:rFonts w:ascii="Calibri" w:hAnsi="Calibri"/>
        </w:rPr>
        <w:t>prodlužování životnosti jaderných elektráre</w:t>
      </w:r>
      <w:r w:rsidR="0055176B">
        <w:rPr>
          <w:rFonts w:ascii="Calibri" w:hAnsi="Calibri"/>
        </w:rPr>
        <w:t xml:space="preserve">n, </w:t>
      </w:r>
      <w:r w:rsidR="00286F7C">
        <w:rPr>
          <w:rFonts w:ascii="Calibri" w:hAnsi="Calibri"/>
        </w:rPr>
        <w:t xml:space="preserve">které je dnes </w:t>
      </w:r>
      <w:r w:rsidR="0055176B">
        <w:rPr>
          <w:rFonts w:ascii="Calibri" w:hAnsi="Calibri"/>
        </w:rPr>
        <w:t xml:space="preserve">v ČR </w:t>
      </w:r>
      <w:r w:rsidR="00456D3B">
        <w:rPr>
          <w:rFonts w:ascii="Calibri" w:hAnsi="Calibri"/>
        </w:rPr>
        <w:t xml:space="preserve">spojováno </w:t>
      </w:r>
      <w:r w:rsidR="0055176B">
        <w:rPr>
          <w:rFonts w:ascii="Calibri" w:hAnsi="Calibri"/>
        </w:rPr>
        <w:t>s</w:t>
      </w:r>
      <w:r w:rsidR="00050251" w:rsidRPr="00241F03">
        <w:rPr>
          <w:rFonts w:ascii="Calibri" w:hAnsi="Calibri"/>
        </w:rPr>
        <w:t xml:space="preserve"> v EU obvyklým </w:t>
      </w:r>
      <w:proofErr w:type="gramStart"/>
      <w:r w:rsidR="00050251" w:rsidRPr="00241F03">
        <w:rPr>
          <w:rFonts w:ascii="Calibri" w:hAnsi="Calibri"/>
        </w:rPr>
        <w:t>10-ti</w:t>
      </w:r>
      <w:proofErr w:type="gramEnd"/>
      <w:r w:rsidR="00050251" w:rsidRPr="00241F03">
        <w:rPr>
          <w:rFonts w:ascii="Calibri" w:hAnsi="Calibri"/>
        </w:rPr>
        <w:t xml:space="preserve"> letým periodickým hodnocením bezpečnosti. Je zřejmé, že prodlužování životnosti o 20 let praktikované v USA a aplikované též Finskem, Maďarskem a Ruskem na reaktory VVER</w:t>
      </w:r>
      <w:r w:rsidR="007F570D">
        <w:rPr>
          <w:rFonts w:ascii="Calibri" w:hAnsi="Calibri"/>
        </w:rPr>
        <w:t xml:space="preserve"> </w:t>
      </w:r>
      <w:r w:rsidR="00050251" w:rsidRPr="00241F03">
        <w:rPr>
          <w:rFonts w:ascii="Calibri" w:hAnsi="Calibri"/>
        </w:rPr>
        <w:t xml:space="preserve">440 je z hlediska jaderné bezpečnosti mnohem výhodnější, </w:t>
      </w:r>
      <w:r w:rsidR="0044189F">
        <w:rPr>
          <w:rFonts w:ascii="Calibri" w:hAnsi="Calibri"/>
        </w:rPr>
        <w:t>protože</w:t>
      </w:r>
      <w:r w:rsidR="00050251" w:rsidRPr="00241F03">
        <w:rPr>
          <w:rFonts w:ascii="Calibri" w:hAnsi="Calibri"/>
        </w:rPr>
        <w:t xml:space="preserve"> umožňuje vyšší jednorázové investice do zvýšení bezpečnosti se zárukou návratnosti pro provozovatele.</w:t>
      </w:r>
    </w:p>
    <w:p w:rsidR="00C42583" w:rsidRDefault="00050251" w:rsidP="00050251">
      <w:pPr>
        <w:jc w:val="both"/>
        <w:rPr>
          <w:rFonts w:ascii="Calibri" w:hAnsi="Calibri"/>
          <w:bCs/>
        </w:rPr>
      </w:pPr>
      <w:r>
        <w:rPr>
          <w:rFonts w:ascii="Calibri" w:hAnsi="Calibri"/>
        </w:rPr>
        <w:t xml:space="preserve">Taktéž vlastník/provozovatel reaktorů v ČR, ČEZ, a. s., má funkční systém kvalitního zajištění jaderné bezpečnosti. Má kvalitní projekční, technické a výzkumné zázemí ve skupině ÚJV. ČEZ je zapojen ve </w:t>
      </w:r>
      <w:proofErr w:type="spellStart"/>
      <w:r w:rsidRPr="000F409C">
        <w:rPr>
          <w:rFonts w:ascii="Calibri" w:hAnsi="Calibri"/>
          <w:bCs/>
        </w:rPr>
        <w:t>World</w:t>
      </w:r>
      <w:proofErr w:type="spellEnd"/>
      <w:r w:rsidRPr="000F409C">
        <w:rPr>
          <w:rFonts w:ascii="Calibri" w:hAnsi="Calibri"/>
          <w:bCs/>
        </w:rPr>
        <w:t xml:space="preserve"> </w:t>
      </w:r>
      <w:proofErr w:type="spellStart"/>
      <w:r w:rsidRPr="000F409C">
        <w:rPr>
          <w:rFonts w:ascii="Calibri" w:hAnsi="Calibri"/>
          <w:bCs/>
        </w:rPr>
        <w:t>Association</w:t>
      </w:r>
      <w:proofErr w:type="spellEnd"/>
      <w:r w:rsidRPr="000F409C">
        <w:rPr>
          <w:rFonts w:ascii="Calibri" w:hAnsi="Calibri"/>
          <w:bCs/>
        </w:rPr>
        <w:t xml:space="preserve"> </w:t>
      </w:r>
      <w:proofErr w:type="spellStart"/>
      <w:r w:rsidRPr="000F409C">
        <w:rPr>
          <w:rFonts w:ascii="Calibri" w:hAnsi="Calibri"/>
          <w:bCs/>
        </w:rPr>
        <w:t>of</w:t>
      </w:r>
      <w:proofErr w:type="spellEnd"/>
      <w:r w:rsidRPr="000F409C">
        <w:rPr>
          <w:rFonts w:ascii="Calibri" w:hAnsi="Calibri"/>
          <w:bCs/>
        </w:rPr>
        <w:t xml:space="preserve"> </w:t>
      </w:r>
      <w:proofErr w:type="spellStart"/>
      <w:r w:rsidRPr="000F409C">
        <w:rPr>
          <w:rFonts w:ascii="Calibri" w:hAnsi="Calibri"/>
          <w:bCs/>
        </w:rPr>
        <w:t>Nuclear</w:t>
      </w:r>
      <w:proofErr w:type="spellEnd"/>
      <w:r w:rsidRPr="000F409C">
        <w:rPr>
          <w:rFonts w:ascii="Calibri" w:hAnsi="Calibri"/>
          <w:bCs/>
        </w:rPr>
        <w:t xml:space="preserve"> </w:t>
      </w:r>
      <w:proofErr w:type="spellStart"/>
      <w:r w:rsidRPr="000F409C">
        <w:rPr>
          <w:rFonts w:ascii="Calibri" w:hAnsi="Calibri"/>
          <w:bCs/>
        </w:rPr>
        <w:t>Operators</w:t>
      </w:r>
      <w:proofErr w:type="spellEnd"/>
      <w:r w:rsidRPr="000F409C">
        <w:rPr>
          <w:rFonts w:ascii="Calibri" w:hAnsi="Calibri"/>
          <w:bCs/>
        </w:rPr>
        <w:t xml:space="preserve"> (WANO)</w:t>
      </w:r>
      <w:r>
        <w:rPr>
          <w:rFonts w:ascii="Calibri" w:hAnsi="Calibri"/>
          <w:bCs/>
        </w:rPr>
        <w:t xml:space="preserve"> založené po jaderné havárii v Černobylu s cílem spolupracovat na zajištění provozní jaderné bezpečnosti a po jaderné havárii v JE </w:t>
      </w:r>
      <w:proofErr w:type="spellStart"/>
      <w:r>
        <w:rPr>
          <w:rFonts w:ascii="Calibri" w:hAnsi="Calibri"/>
          <w:bCs/>
        </w:rPr>
        <w:t>Fukushima</w:t>
      </w:r>
      <w:proofErr w:type="spellEnd"/>
      <w:r>
        <w:rPr>
          <w:rFonts w:ascii="Calibri" w:hAnsi="Calibri"/>
          <w:bCs/>
        </w:rPr>
        <w:t xml:space="preserve"> rozšiřující pohled i na oblast projektem zajištěné bezpečnosti. ČEZ se účastní spolu se skupinou ÚJV na výzkumné spolupráci v rámci </w:t>
      </w:r>
      <w:r w:rsidR="00225A6A" w:rsidRPr="00225A6A">
        <w:rPr>
          <w:rFonts w:ascii="Calibri" w:hAnsi="Calibri"/>
          <w:bCs/>
        </w:rPr>
        <w:t xml:space="preserve">Electric </w:t>
      </w:r>
      <w:proofErr w:type="spellStart"/>
      <w:r w:rsidR="00225A6A" w:rsidRPr="00225A6A">
        <w:rPr>
          <w:rFonts w:ascii="Calibri" w:hAnsi="Calibri"/>
          <w:bCs/>
        </w:rPr>
        <w:t>Power</w:t>
      </w:r>
      <w:proofErr w:type="spellEnd"/>
      <w:r w:rsidR="00225A6A" w:rsidRPr="00225A6A">
        <w:rPr>
          <w:rFonts w:ascii="Calibri" w:hAnsi="Calibri"/>
          <w:bCs/>
        </w:rPr>
        <w:t xml:space="preserve"> </w:t>
      </w:r>
      <w:proofErr w:type="spellStart"/>
      <w:r w:rsidR="00225A6A" w:rsidRPr="00225A6A">
        <w:rPr>
          <w:rFonts w:ascii="Calibri" w:hAnsi="Calibri"/>
          <w:bCs/>
        </w:rPr>
        <w:t>Research</w:t>
      </w:r>
      <w:proofErr w:type="spellEnd"/>
      <w:r w:rsidR="00225A6A" w:rsidRPr="00225A6A">
        <w:rPr>
          <w:rFonts w:ascii="Calibri" w:hAnsi="Calibri"/>
          <w:bCs/>
        </w:rPr>
        <w:t xml:space="preserve"> Institute </w:t>
      </w:r>
      <w:r w:rsidR="00225A6A">
        <w:rPr>
          <w:rFonts w:ascii="Calibri" w:hAnsi="Calibri"/>
          <w:bCs/>
        </w:rPr>
        <w:t xml:space="preserve">v </w:t>
      </w:r>
      <w:r>
        <w:rPr>
          <w:rFonts w:ascii="Calibri" w:hAnsi="Calibri"/>
          <w:bCs/>
        </w:rPr>
        <w:t>USA a</w:t>
      </w:r>
      <w:r w:rsidR="00225A6A">
        <w:rPr>
          <w:rFonts w:ascii="Calibri" w:hAnsi="Calibri"/>
          <w:bCs/>
        </w:rPr>
        <w:t xml:space="preserve"> </w:t>
      </w:r>
      <w:proofErr w:type="spellStart"/>
      <w:r w:rsidR="00225A6A" w:rsidRPr="00225A6A">
        <w:rPr>
          <w:rFonts w:ascii="Calibri" w:hAnsi="Calibri"/>
          <w:bCs/>
        </w:rPr>
        <w:t>Nuclear</w:t>
      </w:r>
      <w:proofErr w:type="spellEnd"/>
      <w:r w:rsidR="00225A6A" w:rsidRPr="00225A6A">
        <w:rPr>
          <w:rFonts w:ascii="Calibri" w:hAnsi="Calibri"/>
          <w:bCs/>
        </w:rPr>
        <w:t xml:space="preserve"> </w:t>
      </w:r>
      <w:proofErr w:type="spellStart"/>
      <w:r w:rsidR="00225A6A" w:rsidRPr="00225A6A">
        <w:rPr>
          <w:rFonts w:ascii="Calibri" w:hAnsi="Calibri"/>
          <w:bCs/>
        </w:rPr>
        <w:t>Generation</w:t>
      </w:r>
      <w:proofErr w:type="spellEnd"/>
      <w:r w:rsidR="00225A6A" w:rsidRPr="00225A6A">
        <w:rPr>
          <w:rFonts w:ascii="Calibri" w:hAnsi="Calibri"/>
          <w:bCs/>
        </w:rPr>
        <w:t xml:space="preserve"> II &amp; III </w:t>
      </w:r>
      <w:proofErr w:type="spellStart"/>
      <w:r w:rsidR="00225A6A" w:rsidRPr="00225A6A">
        <w:rPr>
          <w:rFonts w:ascii="Calibri" w:hAnsi="Calibri"/>
          <w:bCs/>
        </w:rPr>
        <w:t>Association</w:t>
      </w:r>
      <w:proofErr w:type="spellEnd"/>
      <w:r>
        <w:rPr>
          <w:rFonts w:ascii="Calibri" w:hAnsi="Calibri"/>
          <w:bCs/>
        </w:rPr>
        <w:t xml:space="preserve"> </w:t>
      </w:r>
      <w:r w:rsidR="00225A6A">
        <w:rPr>
          <w:rFonts w:ascii="Calibri" w:hAnsi="Calibri"/>
          <w:bCs/>
        </w:rPr>
        <w:t>(</w:t>
      </w:r>
      <w:r>
        <w:rPr>
          <w:rFonts w:ascii="Calibri" w:hAnsi="Calibri"/>
          <w:bCs/>
        </w:rPr>
        <w:t>NUGENIA</w:t>
      </w:r>
      <w:r w:rsidR="00225A6A">
        <w:rPr>
          <w:rFonts w:ascii="Calibri" w:hAnsi="Calibri"/>
          <w:bCs/>
        </w:rPr>
        <w:t>)</w:t>
      </w:r>
      <w:r>
        <w:rPr>
          <w:rStyle w:val="Znakapoznpodarou"/>
          <w:rFonts w:ascii="Calibri" w:hAnsi="Calibri"/>
          <w:bCs/>
        </w:rPr>
        <w:footnoteReference w:id="8"/>
      </w:r>
      <w:r>
        <w:rPr>
          <w:rFonts w:ascii="Calibri" w:hAnsi="Calibri"/>
          <w:bCs/>
        </w:rPr>
        <w:t xml:space="preserve"> </w:t>
      </w:r>
      <w:r w:rsidR="00225A6A">
        <w:rPr>
          <w:rFonts w:ascii="Calibri" w:hAnsi="Calibri"/>
          <w:bCs/>
        </w:rPr>
        <w:t xml:space="preserve">v </w:t>
      </w:r>
      <w:r>
        <w:rPr>
          <w:rFonts w:ascii="Calibri" w:hAnsi="Calibri"/>
          <w:bCs/>
        </w:rPr>
        <w:t>EU.</w:t>
      </w:r>
    </w:p>
    <w:p w:rsidR="00C42583" w:rsidRDefault="00C42583">
      <w:pPr>
        <w:rPr>
          <w:rFonts w:ascii="Calibri" w:hAnsi="Calibri"/>
          <w:bCs/>
        </w:rPr>
      </w:pPr>
      <w:r>
        <w:rPr>
          <w:rFonts w:ascii="Calibri" w:hAnsi="Calibri"/>
          <w:bCs/>
        </w:rPr>
        <w:br w:type="page"/>
      </w:r>
    </w:p>
    <w:p w:rsidR="00050251" w:rsidRPr="00050251" w:rsidRDefault="00050251" w:rsidP="00050251">
      <w:pPr>
        <w:jc w:val="both"/>
        <w:rPr>
          <w:sz w:val="24"/>
          <w:szCs w:val="24"/>
          <w:u w:val="single"/>
        </w:rPr>
      </w:pPr>
      <w:r w:rsidRPr="00050251">
        <w:rPr>
          <w:sz w:val="24"/>
          <w:szCs w:val="24"/>
          <w:u w:val="single"/>
        </w:rPr>
        <w:lastRenderedPageBreak/>
        <w:t xml:space="preserve">Kritické předpoklady pro </w:t>
      </w:r>
      <w:r w:rsidR="00D21A08">
        <w:rPr>
          <w:sz w:val="24"/>
          <w:szCs w:val="24"/>
          <w:u w:val="single"/>
        </w:rPr>
        <w:t>dlouhodobé zajištění vysoké úrovně jaderné bezpečnosti</w:t>
      </w:r>
    </w:p>
    <w:p w:rsidR="00050251" w:rsidRPr="00662E15" w:rsidRDefault="00050251" w:rsidP="00050251">
      <w:pPr>
        <w:jc w:val="both"/>
        <w:rPr>
          <w:rFonts w:ascii="Calibri" w:hAnsi="Calibri"/>
          <w:u w:val="single"/>
        </w:rPr>
      </w:pPr>
      <w:r>
        <w:rPr>
          <w:rFonts w:ascii="Calibri" w:hAnsi="Calibri"/>
          <w:u w:val="single"/>
        </w:rPr>
        <w:t xml:space="preserve">V oblasti </w:t>
      </w:r>
      <w:r w:rsidRPr="00662E15">
        <w:rPr>
          <w:rFonts w:ascii="Calibri" w:hAnsi="Calibri"/>
          <w:u w:val="single"/>
        </w:rPr>
        <w:t>Vlád</w:t>
      </w:r>
      <w:r>
        <w:rPr>
          <w:rFonts w:ascii="Calibri" w:hAnsi="Calibri"/>
          <w:u w:val="single"/>
        </w:rPr>
        <w:t>y</w:t>
      </w:r>
      <w:r w:rsidRPr="00662E15">
        <w:rPr>
          <w:rFonts w:ascii="Calibri" w:hAnsi="Calibri"/>
          <w:u w:val="single"/>
        </w:rPr>
        <w:t xml:space="preserve"> ČR </w:t>
      </w:r>
    </w:p>
    <w:p w:rsidR="002B6E1A" w:rsidRDefault="00111C7C" w:rsidP="00050251">
      <w:pPr>
        <w:jc w:val="both"/>
        <w:rPr>
          <w:rFonts w:ascii="Times New Roman" w:hAnsi="Times New Roman" w:cs="Times New Roman"/>
          <w:color w:val="000000" w:themeColor="text1"/>
        </w:rPr>
      </w:pPr>
      <w:r>
        <w:rPr>
          <w:rFonts w:ascii="Times New Roman" w:hAnsi="Times New Roman" w:cs="Times New Roman"/>
          <w:color w:val="000000" w:themeColor="text1"/>
        </w:rPr>
        <w:t>Kontinuálně</w:t>
      </w:r>
      <w:r w:rsidR="00DB700C" w:rsidRPr="00D94AE1">
        <w:rPr>
          <w:rFonts w:ascii="Times New Roman" w:hAnsi="Times New Roman" w:cs="Times New Roman"/>
          <w:color w:val="000000" w:themeColor="text1"/>
        </w:rPr>
        <w:t xml:space="preserve"> podporovat roli SÚJB v oblasti jaderné energetiky tak, aby </w:t>
      </w:r>
      <w:r>
        <w:rPr>
          <w:rFonts w:ascii="Times New Roman" w:hAnsi="Times New Roman" w:cs="Times New Roman"/>
          <w:color w:val="000000" w:themeColor="text1"/>
        </w:rPr>
        <w:t>bylo i nadále zajištěno</w:t>
      </w:r>
      <w:r w:rsidR="00DB700C" w:rsidRPr="00D94AE1">
        <w:rPr>
          <w:rFonts w:ascii="Times New Roman" w:hAnsi="Times New Roman" w:cs="Times New Roman"/>
          <w:color w:val="000000" w:themeColor="text1"/>
        </w:rPr>
        <w:t xml:space="preserve"> dlouhodobé plnění doporučení MAA</w:t>
      </w:r>
      <w:r w:rsidR="002B6E1A">
        <w:rPr>
          <w:rFonts w:ascii="Times New Roman" w:hAnsi="Times New Roman" w:cs="Times New Roman"/>
          <w:color w:val="000000" w:themeColor="text1"/>
        </w:rPr>
        <w:t>E v oblasti jaderné bezpečnosti</w:t>
      </w:r>
      <w:r w:rsidR="00DB700C">
        <w:rPr>
          <w:rFonts w:ascii="Times New Roman" w:hAnsi="Times New Roman" w:cs="Times New Roman"/>
          <w:color w:val="000000" w:themeColor="text1"/>
        </w:rPr>
        <w:t>.</w:t>
      </w:r>
    </w:p>
    <w:p w:rsidR="00050251" w:rsidRPr="00662E15" w:rsidRDefault="00050251" w:rsidP="00050251">
      <w:pPr>
        <w:jc w:val="both"/>
        <w:rPr>
          <w:rFonts w:ascii="Calibri" w:hAnsi="Calibri"/>
          <w:u w:val="single"/>
        </w:rPr>
      </w:pPr>
      <w:r>
        <w:rPr>
          <w:rFonts w:ascii="Calibri" w:hAnsi="Calibri"/>
          <w:u w:val="single"/>
        </w:rPr>
        <w:t>V oblasti Dozoru nad jadernou bezpečností</w:t>
      </w:r>
      <w:r w:rsidRPr="00662E15">
        <w:rPr>
          <w:rFonts w:ascii="Calibri" w:hAnsi="Calibri"/>
          <w:u w:val="single"/>
        </w:rPr>
        <w:t xml:space="preserve"> (</w:t>
      </w:r>
      <w:r w:rsidR="00DD3A67">
        <w:rPr>
          <w:rFonts w:ascii="Calibri" w:hAnsi="Calibri"/>
          <w:u w:val="single"/>
        </w:rPr>
        <w:t>SÚJB</w:t>
      </w:r>
      <w:r w:rsidRPr="00662E15">
        <w:rPr>
          <w:rFonts w:ascii="Calibri" w:hAnsi="Calibri"/>
          <w:u w:val="single"/>
        </w:rPr>
        <w:t>)</w:t>
      </w:r>
    </w:p>
    <w:p w:rsidR="00DD3A67" w:rsidRPr="00DD3A67" w:rsidRDefault="00050251" w:rsidP="00050251">
      <w:pPr>
        <w:jc w:val="both"/>
        <w:rPr>
          <w:rFonts w:ascii="Calibri" w:hAnsi="Calibri" w:cs="CaeciliaLTStd-Roman"/>
        </w:rPr>
      </w:pPr>
      <w:r>
        <w:rPr>
          <w:rFonts w:ascii="Calibri" w:hAnsi="Calibri"/>
        </w:rPr>
        <w:t>Zajištění jaderné bezpečnosti během celé životnosti NJZ závisí zejména na kvalitě licenčního procesu, který ovlivňuje množství a kvalitu takto převzatého know</w:t>
      </w:r>
      <w:r w:rsidR="00EF2CC9">
        <w:rPr>
          <w:rFonts w:ascii="Calibri" w:hAnsi="Calibri"/>
        </w:rPr>
        <w:t>-</w:t>
      </w:r>
      <w:r>
        <w:rPr>
          <w:rFonts w:ascii="Calibri" w:hAnsi="Calibri"/>
        </w:rPr>
        <w:t xml:space="preserve">how a </w:t>
      </w:r>
      <w:proofErr w:type="spellStart"/>
      <w:r>
        <w:rPr>
          <w:rFonts w:ascii="Calibri" w:hAnsi="Calibri"/>
        </w:rPr>
        <w:t>know</w:t>
      </w:r>
      <w:r w:rsidR="00EF2CC9">
        <w:rPr>
          <w:rFonts w:ascii="Calibri" w:hAnsi="Calibri"/>
        </w:rPr>
        <w:t>-</w:t>
      </w:r>
      <w:r>
        <w:rPr>
          <w:rFonts w:ascii="Calibri" w:hAnsi="Calibri"/>
        </w:rPr>
        <w:t>why</w:t>
      </w:r>
      <w:proofErr w:type="spellEnd"/>
      <w:r>
        <w:rPr>
          <w:rFonts w:ascii="Calibri" w:hAnsi="Calibri"/>
        </w:rPr>
        <w:t xml:space="preserve">. Ke kvalitní přípravě je velmi žádoucí, aby se ČR zapojila do </w:t>
      </w:r>
      <w:proofErr w:type="spellStart"/>
      <w:r w:rsidRPr="004F7BF0">
        <w:rPr>
          <w:rFonts w:ascii="Calibri" w:hAnsi="Calibri" w:cs="CaeciliaLTStd-Roman"/>
        </w:rPr>
        <w:t>Multinational</w:t>
      </w:r>
      <w:proofErr w:type="spellEnd"/>
      <w:r w:rsidRPr="004F7BF0">
        <w:rPr>
          <w:rFonts w:ascii="Calibri" w:hAnsi="Calibri" w:cs="CaeciliaLTStd-Roman"/>
        </w:rPr>
        <w:t xml:space="preserve"> Design </w:t>
      </w:r>
      <w:proofErr w:type="spellStart"/>
      <w:r w:rsidRPr="004F7BF0">
        <w:rPr>
          <w:rFonts w:ascii="Calibri" w:hAnsi="Calibri" w:cs="CaeciliaLTStd-Roman"/>
        </w:rPr>
        <w:t>Evaluation</w:t>
      </w:r>
      <w:proofErr w:type="spellEnd"/>
      <w:r w:rsidRPr="004F7BF0">
        <w:rPr>
          <w:rFonts w:ascii="Calibri" w:hAnsi="Calibri" w:cs="CaeciliaLTStd-Roman"/>
        </w:rPr>
        <w:t xml:space="preserve"> </w:t>
      </w:r>
      <w:proofErr w:type="spellStart"/>
      <w:r w:rsidRPr="004F7BF0">
        <w:rPr>
          <w:rFonts w:ascii="Calibri" w:hAnsi="Calibri" w:cs="CaeciliaLTStd-Roman"/>
        </w:rPr>
        <w:t>Programme</w:t>
      </w:r>
      <w:proofErr w:type="spellEnd"/>
      <w:r w:rsidRPr="004F7BF0">
        <w:rPr>
          <w:rFonts w:ascii="Calibri" w:hAnsi="Calibri" w:cs="CaeciliaLTStd-Roman"/>
        </w:rPr>
        <w:t xml:space="preserve"> </w:t>
      </w:r>
      <w:r w:rsidR="00DB03CC">
        <w:rPr>
          <w:rFonts w:ascii="Calibri" w:hAnsi="Calibri" w:cs="CaeciliaLTStd-Roman"/>
        </w:rPr>
        <w:t>(</w:t>
      </w:r>
      <w:r w:rsidRPr="004F7BF0">
        <w:rPr>
          <w:rFonts w:ascii="Calibri" w:hAnsi="Calibri" w:cs="CaeciliaLTStd-Roman"/>
        </w:rPr>
        <w:t>MDEP</w:t>
      </w:r>
      <w:r w:rsidR="00DB03CC">
        <w:rPr>
          <w:rFonts w:ascii="Calibri" w:hAnsi="Calibri" w:cs="CaeciliaLTStd-Roman"/>
        </w:rPr>
        <w:t>)</w:t>
      </w:r>
      <w:r>
        <w:rPr>
          <w:rFonts w:ascii="Calibri" w:hAnsi="Calibri" w:cs="CaeciliaLTStd-Roman"/>
        </w:rPr>
        <w:t>.</w:t>
      </w:r>
    </w:p>
    <w:p w:rsidR="00050251" w:rsidRPr="00662E15" w:rsidRDefault="00050251" w:rsidP="00050251">
      <w:pPr>
        <w:jc w:val="both"/>
        <w:rPr>
          <w:rFonts w:ascii="Calibri" w:hAnsi="Calibri"/>
          <w:u w:val="single"/>
        </w:rPr>
      </w:pPr>
      <w:r w:rsidRPr="00662E15">
        <w:rPr>
          <w:rFonts w:ascii="Calibri" w:hAnsi="Calibri"/>
          <w:u w:val="single"/>
        </w:rPr>
        <w:t>V oblasti provozovatele</w:t>
      </w:r>
    </w:p>
    <w:p w:rsidR="00F07783" w:rsidRDefault="00F07783" w:rsidP="00050251">
      <w:pPr>
        <w:jc w:val="both"/>
        <w:rPr>
          <w:rFonts w:ascii="Calibri" w:hAnsi="Calibri"/>
        </w:rPr>
      </w:pPr>
      <w:r>
        <w:rPr>
          <w:rFonts w:ascii="Calibri" w:hAnsi="Calibri"/>
        </w:rPr>
        <w:t xml:space="preserve">Vytvořit podmínky pro zachování a další rozvoj potřebné </w:t>
      </w:r>
      <w:r w:rsidR="00E72EFC">
        <w:rPr>
          <w:rFonts w:ascii="Calibri" w:hAnsi="Calibri"/>
        </w:rPr>
        <w:t xml:space="preserve">domácí </w:t>
      </w:r>
      <w:r>
        <w:rPr>
          <w:rFonts w:ascii="Calibri" w:hAnsi="Calibri"/>
        </w:rPr>
        <w:t>personální a znalostní infrastruktury</w:t>
      </w:r>
      <w:r w:rsidR="00E72EFC">
        <w:rPr>
          <w:rFonts w:ascii="Calibri" w:hAnsi="Calibri"/>
        </w:rPr>
        <w:t xml:space="preserve"> pro zajištění jaderné bezpečnosti, a to u všech subjektů podílejících se na zajištění jaderné bezpečnosti.</w:t>
      </w:r>
    </w:p>
    <w:p w:rsidR="00050251" w:rsidRPr="00D30594" w:rsidRDefault="00050251" w:rsidP="00050251">
      <w:pPr>
        <w:jc w:val="both"/>
        <w:rPr>
          <w:rFonts w:ascii="Calibri" w:hAnsi="Calibri"/>
          <w:u w:val="single"/>
        </w:rPr>
      </w:pPr>
      <w:r w:rsidRPr="00D30594">
        <w:rPr>
          <w:rFonts w:ascii="Calibri" w:hAnsi="Calibri"/>
          <w:u w:val="single"/>
        </w:rPr>
        <w:t>V oblasti technické podpory</w:t>
      </w:r>
    </w:p>
    <w:p w:rsidR="00DD3A67" w:rsidRDefault="00DD3A67" w:rsidP="00050251">
      <w:pPr>
        <w:jc w:val="both"/>
        <w:rPr>
          <w:rFonts w:ascii="Calibri" w:hAnsi="Calibri"/>
        </w:rPr>
      </w:pPr>
      <w:r>
        <w:rPr>
          <w:rFonts w:ascii="Calibri" w:hAnsi="Calibri"/>
        </w:rPr>
        <w:t>Zajistit kvalitní a trvalou technickou podporu (</w:t>
      </w:r>
      <w:proofErr w:type="spellStart"/>
      <w:r w:rsidR="005B12EA">
        <w:rPr>
          <w:rFonts w:ascii="Calibri" w:hAnsi="Calibri"/>
        </w:rPr>
        <w:t>Technical</w:t>
      </w:r>
      <w:proofErr w:type="spellEnd"/>
      <w:r w:rsidR="005B12EA">
        <w:rPr>
          <w:rFonts w:ascii="Calibri" w:hAnsi="Calibri"/>
        </w:rPr>
        <w:t xml:space="preserve"> Support </w:t>
      </w:r>
      <w:proofErr w:type="spellStart"/>
      <w:r w:rsidR="005B12EA">
        <w:rPr>
          <w:rFonts w:ascii="Calibri" w:hAnsi="Calibri"/>
        </w:rPr>
        <w:t>Organization</w:t>
      </w:r>
      <w:proofErr w:type="spellEnd"/>
      <w:r w:rsidR="005B12EA">
        <w:rPr>
          <w:rFonts w:ascii="Calibri" w:hAnsi="Calibri"/>
        </w:rPr>
        <w:t xml:space="preserve"> – </w:t>
      </w:r>
      <w:r>
        <w:rPr>
          <w:rFonts w:ascii="Calibri" w:hAnsi="Calibri"/>
        </w:rPr>
        <w:t>TSO)</w:t>
      </w:r>
      <w:r w:rsidR="00825739">
        <w:rPr>
          <w:rFonts w:ascii="Calibri" w:hAnsi="Calibri"/>
        </w:rPr>
        <w:t xml:space="preserve"> bez majetkové provázanosti</w:t>
      </w:r>
      <w:r>
        <w:rPr>
          <w:rFonts w:ascii="Calibri" w:hAnsi="Calibri"/>
        </w:rPr>
        <w:t xml:space="preserve"> na provozovatele JE.</w:t>
      </w:r>
    </w:p>
    <w:p w:rsidR="00050251" w:rsidRPr="004A0E6C" w:rsidRDefault="00050251" w:rsidP="00050251">
      <w:pPr>
        <w:jc w:val="both"/>
        <w:rPr>
          <w:rFonts w:ascii="Calibri" w:hAnsi="Calibri"/>
          <w:u w:val="single"/>
        </w:rPr>
      </w:pPr>
      <w:r w:rsidRPr="004A0E6C">
        <w:rPr>
          <w:rFonts w:ascii="Calibri" w:hAnsi="Calibri"/>
          <w:u w:val="single"/>
        </w:rPr>
        <w:t>V oblasti výzkumu</w:t>
      </w:r>
    </w:p>
    <w:p w:rsidR="00050251" w:rsidRPr="004A0E6C" w:rsidRDefault="00050251" w:rsidP="00050251">
      <w:pPr>
        <w:jc w:val="both"/>
        <w:rPr>
          <w:rFonts w:ascii="Calibri" w:hAnsi="Calibri"/>
        </w:rPr>
      </w:pPr>
      <w:r w:rsidRPr="004A0E6C">
        <w:rPr>
          <w:rFonts w:ascii="Calibri" w:hAnsi="Calibri"/>
        </w:rPr>
        <w:t>Zajištění financování v oblasti jaderné bezpečnosti je nezbytné:</w:t>
      </w:r>
    </w:p>
    <w:p w:rsidR="00050251" w:rsidRPr="004A0E6C" w:rsidRDefault="00050251" w:rsidP="0044189F">
      <w:pPr>
        <w:pStyle w:val="Odstavecseseznamem"/>
        <w:numPr>
          <w:ilvl w:val="0"/>
          <w:numId w:val="25"/>
        </w:numPr>
        <w:spacing w:after="0"/>
        <w:contextualSpacing w:val="0"/>
        <w:jc w:val="both"/>
      </w:pPr>
      <w:r w:rsidRPr="004A0E6C">
        <w:t>pro dozor nad jadernou bezpečností k zajištění dostupnosti potřebných znalostí a též výchově vlastních pracovníků,</w:t>
      </w:r>
    </w:p>
    <w:p w:rsidR="00050251" w:rsidRPr="002E4520" w:rsidRDefault="00DB03CC" w:rsidP="0044189F">
      <w:pPr>
        <w:pStyle w:val="Odstavecseseznamem"/>
        <w:numPr>
          <w:ilvl w:val="0"/>
          <w:numId w:val="25"/>
        </w:numPr>
        <w:ind w:left="714" w:hanging="357"/>
        <w:contextualSpacing w:val="0"/>
        <w:jc w:val="both"/>
      </w:pPr>
      <w:r>
        <w:t>k </w:t>
      </w:r>
      <w:r w:rsidR="00050251" w:rsidRPr="002E4520">
        <w:t>podpoře</w:t>
      </w:r>
      <w:r>
        <w:t>,</w:t>
      </w:r>
      <w:r w:rsidR="00050251" w:rsidRPr="002E4520">
        <w:t xml:space="preserve"> zejména provozovatele a dalších subjektů</w:t>
      </w:r>
      <w:r>
        <w:t>,</w:t>
      </w:r>
      <w:r w:rsidR="00050251" w:rsidRPr="002E4520">
        <w:t xml:space="preserve"> v oblasti jaderné energetiky.</w:t>
      </w:r>
    </w:p>
    <w:p w:rsidR="00DD3A67" w:rsidRPr="002E4520" w:rsidRDefault="00DD3A67" w:rsidP="002E4520">
      <w:pPr>
        <w:jc w:val="both"/>
        <w:rPr>
          <w:rFonts w:ascii="Calibri" w:hAnsi="Calibri"/>
        </w:rPr>
      </w:pPr>
      <w:r w:rsidRPr="002E4520">
        <w:rPr>
          <w:rFonts w:ascii="Calibri" w:hAnsi="Calibri"/>
        </w:rPr>
        <w:t xml:space="preserve">Zajištění financování v oblasti </w:t>
      </w:r>
      <w:r w:rsidR="00AF63EB">
        <w:rPr>
          <w:rFonts w:ascii="Calibri" w:hAnsi="Calibri"/>
        </w:rPr>
        <w:t>vědy a výzkumu</w:t>
      </w:r>
      <w:r w:rsidRPr="002E4520">
        <w:rPr>
          <w:rFonts w:ascii="Calibri" w:hAnsi="Calibri"/>
        </w:rPr>
        <w:t xml:space="preserve"> </w:t>
      </w:r>
      <w:r w:rsidR="00AF63EB">
        <w:rPr>
          <w:rFonts w:ascii="Calibri" w:hAnsi="Calibri"/>
        </w:rPr>
        <w:t>(</w:t>
      </w:r>
      <w:proofErr w:type="spellStart"/>
      <w:r w:rsidRPr="002E4520">
        <w:rPr>
          <w:rFonts w:ascii="Calibri" w:hAnsi="Calibri"/>
        </w:rPr>
        <w:t>VaV</w:t>
      </w:r>
      <w:proofErr w:type="spellEnd"/>
      <w:r w:rsidR="00AF63EB">
        <w:rPr>
          <w:rFonts w:ascii="Calibri" w:hAnsi="Calibri"/>
        </w:rPr>
        <w:t>)</w:t>
      </w:r>
      <w:r w:rsidRPr="002E4520">
        <w:rPr>
          <w:rFonts w:ascii="Calibri" w:hAnsi="Calibri"/>
        </w:rPr>
        <w:t xml:space="preserve"> v JE </w:t>
      </w:r>
      <w:proofErr w:type="spellStart"/>
      <w:r w:rsidRPr="002E4520">
        <w:rPr>
          <w:rFonts w:ascii="Calibri" w:hAnsi="Calibri"/>
        </w:rPr>
        <w:t>je</w:t>
      </w:r>
      <w:proofErr w:type="spellEnd"/>
      <w:r w:rsidRPr="002E4520">
        <w:rPr>
          <w:rFonts w:ascii="Calibri" w:hAnsi="Calibri"/>
        </w:rPr>
        <w:t xml:space="preserve"> nezbytné z důvodů optimalizace provozu JE a posílení role ČR ve výzkumu dalších generací JE (</w:t>
      </w:r>
      <w:proofErr w:type="spellStart"/>
      <w:r w:rsidRPr="002E4520">
        <w:rPr>
          <w:rFonts w:ascii="Calibri" w:hAnsi="Calibri"/>
        </w:rPr>
        <w:t>GenIV</w:t>
      </w:r>
      <w:proofErr w:type="spellEnd"/>
      <w:r w:rsidRPr="002E4520">
        <w:rPr>
          <w:rFonts w:ascii="Calibri" w:hAnsi="Calibri"/>
        </w:rPr>
        <w:t xml:space="preserve">, rychlé reaktory, uzavřený </w:t>
      </w:r>
      <w:r w:rsidR="00104DDB">
        <w:rPr>
          <w:rFonts w:ascii="Calibri" w:hAnsi="Calibri"/>
        </w:rPr>
        <w:t>palivový cyklus</w:t>
      </w:r>
      <w:r w:rsidRPr="002E4520">
        <w:rPr>
          <w:rFonts w:ascii="Calibri" w:hAnsi="Calibri"/>
        </w:rPr>
        <w:t xml:space="preserve"> atp.).</w:t>
      </w:r>
    </w:p>
    <w:p w:rsidR="005875EE" w:rsidRPr="00E21156" w:rsidRDefault="00116A08" w:rsidP="0044189F">
      <w:pPr>
        <w:pStyle w:val="Nadpis2"/>
        <w:jc w:val="both"/>
      </w:pPr>
      <w:bookmarkStart w:id="12" w:name="_Toc407035543"/>
      <w:bookmarkStart w:id="13" w:name="_Toc420055986"/>
      <w:r>
        <w:t>Minimální dopad na životní prostředí ve všech fázích životního cyklu jaderné energetiky</w:t>
      </w:r>
      <w:bookmarkEnd w:id="12"/>
      <w:bookmarkEnd w:id="13"/>
    </w:p>
    <w:p w:rsidR="009A206F" w:rsidRDefault="009A206F" w:rsidP="002F7CE0">
      <w:pPr>
        <w:jc w:val="both"/>
      </w:pPr>
      <w:r>
        <w:t>Jaderná energetika je z pohledu ČR klíčovým nástrojem, jak zajistit postupnou dekarbonizac</w:t>
      </w:r>
      <w:r w:rsidR="00DB03CC">
        <w:t>i českého energetického sektoru</w:t>
      </w:r>
      <w:r>
        <w:t xml:space="preserve"> a tím přispět k naplnění našich evropských i mezinárodních závazků v oblasti ochrany klimatu. Další rozvoj jad</w:t>
      </w:r>
      <w:r w:rsidR="00E72EFC">
        <w:t>e</w:t>
      </w:r>
      <w:r>
        <w:t>rných elektráren i všech fází palivového cyklu musí nicméně naplňovat přísné legislativní závazky pro ochranu životního prostředí.</w:t>
      </w:r>
    </w:p>
    <w:p w:rsidR="002F7CE0" w:rsidRPr="002F7CE0" w:rsidRDefault="002F7CE0" w:rsidP="002F7CE0">
      <w:pPr>
        <w:jc w:val="both"/>
      </w:pPr>
      <w:r w:rsidRPr="002F7CE0">
        <w:t>Udržitelnost v oblasti ochrany životního prostředí s ohledem na jadernou energetiku</w:t>
      </w:r>
      <w:r w:rsidR="009A206F">
        <w:rPr>
          <w:rStyle w:val="Znakapoznpodarou"/>
        </w:rPr>
        <w:footnoteReference w:id="9"/>
      </w:r>
      <w:r w:rsidRPr="002F7CE0">
        <w:t xml:space="preserve"> lze rozdělit do několika základních skupin. Jedná se o ochranu zdraví, ochranu ovzduší, znečištění s ohledem na hluk, </w:t>
      </w:r>
      <w:r w:rsidRPr="002F7CE0">
        <w:lastRenderedPageBreak/>
        <w:t>hospodaření s vodou a vodní systémy, ochran</w:t>
      </w:r>
      <w:r w:rsidR="00DB03CC">
        <w:t>u</w:t>
      </w:r>
      <w:r w:rsidRPr="002F7CE0">
        <w:t xml:space="preserve"> zemědělského půdního fondu a lesního hospodářství, ochranu přírody a krajiny, nakládání s radio</w:t>
      </w:r>
      <w:r w:rsidR="00E46FD8">
        <w:t>a</w:t>
      </w:r>
      <w:r w:rsidRPr="002F7CE0">
        <w:t>ktivními odpad</w:t>
      </w:r>
      <w:r w:rsidR="00DD0436">
        <w:t>y a prevenci závažných havárií.</w:t>
      </w:r>
    </w:p>
    <w:p w:rsidR="002F7CE0" w:rsidRPr="002F7CE0" w:rsidRDefault="002F7CE0" w:rsidP="002F7CE0">
      <w:pPr>
        <w:jc w:val="both"/>
      </w:pPr>
      <w:r w:rsidRPr="002F7CE0">
        <w:t xml:space="preserve">Podmínkou pro </w:t>
      </w:r>
      <w:r w:rsidRPr="002E4520">
        <w:rPr>
          <w:u w:val="single"/>
        </w:rPr>
        <w:t>zajištění ochrany zdraví a ochrany obyvatel</w:t>
      </w:r>
      <w:r w:rsidRPr="002F7CE0">
        <w:t xml:space="preserve"> je především dostatečná legislativa indikující mezní hodnoty jednotlivých látek s potenciálně negativním dopadem na lidské zdraví a</w:t>
      </w:r>
      <w:r w:rsidR="00E963D2">
        <w:t> </w:t>
      </w:r>
      <w:r w:rsidRPr="002F7CE0">
        <w:t>ovzduší, měřící síť a periodické vyhodnocování odchylek od naměřených a povolených hodnot. Hlavní legislativ</w:t>
      </w:r>
      <w:r w:rsidR="00332EBB">
        <w:t>ní zázemí v tomto ohledu tvoří z</w:t>
      </w:r>
      <w:r w:rsidRPr="002F7CE0">
        <w:t xml:space="preserve">ákon č. 18/1997 Sb., </w:t>
      </w:r>
      <w:r w:rsidR="00332EBB">
        <w:t>z</w:t>
      </w:r>
      <w:r w:rsidRPr="002F7CE0">
        <w:t>ákon</w:t>
      </w:r>
      <w:r w:rsidR="00132969" w:rsidRPr="00132969">
        <w:t xml:space="preserve"> č. 201/2012 Sb.</w:t>
      </w:r>
      <w:r w:rsidRPr="002F7CE0">
        <w:t xml:space="preserve">, </w:t>
      </w:r>
      <w:r w:rsidR="00332EBB">
        <w:t>z</w:t>
      </w:r>
      <w:r w:rsidRPr="002F7CE0">
        <w:t>ákon č. 100/2001 Sb.</w:t>
      </w:r>
      <w:r w:rsidR="00332EBB">
        <w:t xml:space="preserve"> a</w:t>
      </w:r>
      <w:r w:rsidRPr="002F7CE0">
        <w:t xml:space="preserve"> </w:t>
      </w:r>
      <w:r w:rsidR="00332EBB">
        <w:t>z</w:t>
      </w:r>
      <w:r w:rsidRPr="002F7CE0">
        <w:t>ákon č. 258/2000 Sb. Podmínkou udržitelnosti je tedy především vyhodnocení a</w:t>
      </w:r>
      <w:r w:rsidR="00E963D2">
        <w:t> </w:t>
      </w:r>
      <w:r w:rsidRPr="002F7CE0">
        <w:t>případně zajištění dostatečnosti sítě emisního monitoringu a zajištění nepřekročení maximálních povolených hodnot v souladu s platnou legislativou. S ohledem na monitorování radiační situace je podmínkou především více stupňová kontrola v podobě teritoriálního monitorování, monitorování provozovatele jaderného zdroje a nezávislého monitorování.</w:t>
      </w:r>
    </w:p>
    <w:p w:rsidR="002F7CE0" w:rsidRPr="002F7CE0" w:rsidRDefault="002F7CE0" w:rsidP="002F7CE0">
      <w:pPr>
        <w:jc w:val="both"/>
      </w:pPr>
      <w:r w:rsidRPr="002F7CE0">
        <w:t xml:space="preserve">S ohledem na negativní dopady způsobené zvýšenou </w:t>
      </w:r>
      <w:r w:rsidR="00341E9D">
        <w:t xml:space="preserve">hladinou hluku </w:t>
      </w:r>
      <w:r w:rsidRPr="002F7CE0">
        <w:t xml:space="preserve">je nutné především zajistit dostatečnou vzdálenost nejbližší obytné zástavby a obytných aglomerací, což se týká především nových potenciálních lokalit. </w:t>
      </w:r>
      <w:r w:rsidR="00FC60D5" w:rsidRPr="00FC60D5">
        <w:t xml:space="preserve">Záměr je vždy posouzen akustickou studií a v případě, že </w:t>
      </w:r>
      <w:proofErr w:type="spellStart"/>
      <w:r w:rsidR="00FC60D5" w:rsidRPr="00FC60D5">
        <w:t>odstupová</w:t>
      </w:r>
      <w:proofErr w:type="spellEnd"/>
      <w:r w:rsidR="00FC60D5" w:rsidRPr="00FC60D5">
        <w:t xml:space="preserve"> vzdálenost, která je v </w:t>
      </w:r>
      <w:r w:rsidRPr="002F7CE0">
        <w:t>případě jaderné energetiky určena poměrně striktně v podobě bezpečnostních zón</w:t>
      </w:r>
      <w:r w:rsidR="00AD4BD3" w:rsidRPr="00AD4BD3">
        <w:t>, nezajistí splnění hygienických limitů, jsou navržena další účinná protihluková opatření</w:t>
      </w:r>
      <w:r w:rsidRPr="002F7CE0">
        <w:t>. Výše zmíněné se pak týká primárně „nezúčastněného“ obyvatelstva, vystavení zvýšené hladině hluku je však spojeno především se zaměstnanci jaderného zdroje. V tomto ohledu je nutné striktně dodržovat požadavky bezpečnosti práce, které jsou však v případě jaderné energetiky sledovány velice pečlivě v důsledku zvláštního statutu tohoto odvětví. Riziko zvýšeného vystavení se hluku s ohledem na zaměstnance je pak primárně spojeno s výstavbou nového zdroje spíše než s provozem stávajících zdrojů.</w:t>
      </w:r>
    </w:p>
    <w:p w:rsidR="002F7CE0" w:rsidRPr="002F7CE0" w:rsidRDefault="002F7CE0" w:rsidP="002F7CE0">
      <w:pPr>
        <w:jc w:val="both"/>
      </w:pPr>
      <w:r w:rsidRPr="002F7CE0">
        <w:t xml:space="preserve">Co se týká </w:t>
      </w:r>
      <w:r w:rsidRPr="002E4520">
        <w:rPr>
          <w:u w:val="single"/>
        </w:rPr>
        <w:t>zemědělského půdního fondu</w:t>
      </w:r>
      <w:r w:rsidRPr="002F7CE0">
        <w:t>, je možné mluvit o tzv. kumulativních vlivech. Ke kumulativním vlivům z hlediska zemědělského půdního fondu dochází především tam, kde jsou navrhovány nové investiční záměry stavebního charakteru tzv. na zelené louce v kontextu s již existujícími či navrženými urbanizovanými plochami a dojde zde k významnému záboru zemědělského půdního fondu, resp. zv</w:t>
      </w:r>
      <w:r w:rsidR="009A206F">
        <w:t>ýšení podílu zpevněných povrchů. To</w:t>
      </w:r>
      <w:r w:rsidRPr="002F7CE0">
        <w:t xml:space="preserve"> se poté může odrazit kupříkladu v nárůstu </w:t>
      </w:r>
      <w:proofErr w:type="spellStart"/>
      <w:r w:rsidRPr="002F7CE0">
        <w:t>nezasáknutých</w:t>
      </w:r>
      <w:proofErr w:type="spellEnd"/>
      <w:r w:rsidRPr="002F7CE0">
        <w:t xml:space="preserve"> dešťových vod,</w:t>
      </w:r>
      <w:r w:rsidR="009A206F">
        <w:t xml:space="preserve"> zrychlování povrchového odtoku</w:t>
      </w:r>
      <w:r w:rsidRPr="002F7CE0">
        <w:t xml:space="preserve"> a v možném ohrožení území zejména v obdobích mimořádných událostí jako jsou např. přívalové deště. V případě staveb ve stávajících lokalitách </w:t>
      </w:r>
      <w:r w:rsidR="009A206F">
        <w:t xml:space="preserve">by </w:t>
      </w:r>
      <w:r w:rsidRPr="002F7CE0">
        <w:t xml:space="preserve">však měly být dopady na půdní fond a lesní hospodářství zanedbatelné. </w:t>
      </w:r>
    </w:p>
    <w:p w:rsidR="002F7CE0" w:rsidRPr="002F7CE0" w:rsidRDefault="002F7CE0" w:rsidP="002F7CE0">
      <w:pPr>
        <w:jc w:val="both"/>
      </w:pPr>
      <w:r w:rsidRPr="002F7CE0">
        <w:t>Zatímco zábor zemědělského půdního fondu v okamžiku, kdy je k němu dán souhlas ze strany příslušných orgánů, lze jen velmi těžko kompenzovat, tak zvyšování podílu zpevněných povrchů, resp. snižování retence území lze do jisté míry regulovat pomocí technických řešení systému hospodaření s dešťovými vodami v rámci jednotlivých konkrétních projektů. Dodržována musí být rovněž zásada nezastavování záplavových území, a to zejména v případech, kdy nejsou učiněna příslušná protipovodňová opatření v hydrologicky souvisejících územích. V této souvislosti je na úrovni konkrétních projektů třeba upřednostnit výstavbu případné energetické infrastruktury v již urbanizovaném prostoru před výstavbou na zelené louce a vyřešit vhodně systém hospodaření s</w:t>
      </w:r>
      <w:r w:rsidR="00E963D2">
        <w:t> </w:t>
      </w:r>
      <w:r w:rsidRPr="002F7CE0">
        <w:t xml:space="preserve">dešťovými vodami. Podmínkou udržitelnosti provozu jaderného zdroje v souvislosti s vodním hospodářstvím je pak především zajištění dostatečného množství dostupné vody především pro technologické procesy, a to s využitím přírodních podmínek, tak aby v dané lokalitě nemusely být </w:t>
      </w:r>
      <w:r w:rsidRPr="002F7CE0">
        <w:lastRenderedPageBreak/>
        <w:t>uskutečňovány dodatečné zásahy. Důsledně musí být samozřejmě vyhodnocována případná kontaminace povrchových a podzemních vod při zachování stability celého vodního ekosystému.</w:t>
      </w:r>
    </w:p>
    <w:p w:rsidR="002F7CE0" w:rsidRPr="002F7CE0" w:rsidRDefault="003E00F9" w:rsidP="002F7CE0">
      <w:pPr>
        <w:jc w:val="both"/>
      </w:pPr>
      <w:r>
        <w:t>V případě identifikace nových lokalit pro výstavbu NJZ by p</w:t>
      </w:r>
      <w:r w:rsidR="002F7CE0" w:rsidRPr="002F7CE0">
        <w:t>odmínkou ochrany přírody a krajiny mělo být vyhodnocení způsobilosti daného území pro výstavbu jaderného zdroje. Identifikace a vyhlášení chráněných krajinných oblastí a přírodních rezervací atd. by měla zabránit výstavbám nejenom energetických staveb s potenciálně negativním dopady. O dvou stávajících lokalitách lze v tomto ohledu konstatovat, že v dotčeném území se nenachází žádné zvláště chráněné území ani není dotčené území součástí žádného zvláště chráněného území. Dotčené území se také nenachází v</w:t>
      </w:r>
      <w:r w:rsidR="00E963D2">
        <w:t> </w:t>
      </w:r>
      <w:r w:rsidR="002F7CE0" w:rsidRPr="002F7CE0">
        <w:t>národním parku nebo chráněné krajinné oblasti, v dotčeném území nejsou vyhlášeny žádné národní přírodní rezervace, přírodní rezervace, národní přírodní památky nebo přírodní památky. V dotčeném území (na ploše zamýšlené výstavby) se dále nenachází prvky územního systému ekologické stability, v okolí jsou přítomny jak prvky územního systému ekologické stability, tak významné krajinné prvky. V neposlední řadě není dotčené území součástí přírodního parku ani soustavy Natura 2000.</w:t>
      </w:r>
    </w:p>
    <w:p w:rsidR="002F7CE0" w:rsidRPr="002F7CE0" w:rsidRDefault="002F7CE0" w:rsidP="002F7CE0">
      <w:pPr>
        <w:jc w:val="both"/>
      </w:pPr>
      <w:r w:rsidRPr="002F7CE0">
        <w:t xml:space="preserve">Podmínkou udržitelného </w:t>
      </w:r>
      <w:r w:rsidRPr="002E4520">
        <w:rPr>
          <w:u w:val="single"/>
        </w:rPr>
        <w:t>nakládání s radioaktivními odpady</w:t>
      </w:r>
      <w:r w:rsidRPr="002F7CE0">
        <w:t xml:space="preserve"> je ve velmi obecné rovině uzavření palivového cyklu a tedy minimalizace vzniklého odpadu. V případě neuzavřeného palivového cyklu je však klíčové zajistit ukládací kapacity a vysoké bezpečnostní standar</w:t>
      </w:r>
      <w:r w:rsidR="0050410C">
        <w:t>d</w:t>
      </w:r>
      <w:r w:rsidRPr="002F7CE0">
        <w:t>y při přepravě, ukládání a</w:t>
      </w:r>
      <w:r>
        <w:t> </w:t>
      </w:r>
      <w:r w:rsidRPr="002F7CE0">
        <w:t>celkově zacházení s radioaktivními materiály.</w:t>
      </w:r>
    </w:p>
    <w:p w:rsidR="002F7CE0" w:rsidRPr="002F7CE0" w:rsidRDefault="002F7CE0" w:rsidP="002F7CE0">
      <w:pPr>
        <w:jc w:val="both"/>
      </w:pPr>
      <w:r w:rsidRPr="002F7CE0">
        <w:t>Potenciální závažnost radiačních následků havárií souvisí s úrovní aktivity radioaktivních štěpných produktů v reaktoru a s rozsahem poškození bariér bránících úniku radioaktivních látek do životního prostředí. V tomto ohledu je nutnou podmínkou hodnocení tzv. projektových nehod a tzv. těžkých havárií. Vyhodnocování pravděpodobností jejich výskytu, ale také možného průběhu a záva</w:t>
      </w:r>
      <w:r w:rsidR="0044189F">
        <w:t>ž</w:t>
      </w:r>
      <w:r w:rsidRPr="002F7CE0">
        <w:t>nost</w:t>
      </w:r>
      <w:r w:rsidR="0044189F">
        <w:t>i</w:t>
      </w:r>
      <w:r w:rsidRPr="002F7CE0">
        <w:t>. Z toho</w:t>
      </w:r>
      <w:r w:rsidR="0050410C">
        <w:t>to</w:t>
      </w:r>
      <w:r w:rsidRPr="002F7CE0">
        <w:t xml:space="preserve"> důvodu je nutné zajištění použití nejmodernějších bezpečnostních prvků a vynucení tohoto použití.</w:t>
      </w:r>
    </w:p>
    <w:p w:rsidR="002F7CE0" w:rsidRDefault="002F7CE0" w:rsidP="002F7CE0">
      <w:pPr>
        <w:jc w:val="both"/>
      </w:pPr>
      <w:r>
        <w:t xml:space="preserve">V neposlední řadě je nutné zmínit důležitost zákonně daných nařízení, které zohledňují dopady na životní prostředí jednotlivých projektů v celé jejich šíři a i jejich strategickou důležitost. V tomto ohledu se jedná o posuzování vlivů na životní prostředí </w:t>
      </w:r>
      <w:r w:rsidRPr="0013655B">
        <w:t>ve smyslu zákona č. 100/2</w:t>
      </w:r>
      <w:r>
        <w:t>001 Sb., o</w:t>
      </w:r>
      <w:r w:rsidR="00AE2E6B">
        <w:t> </w:t>
      </w:r>
      <w:r>
        <w:t>posuzování vlivů na ž</w:t>
      </w:r>
      <w:r w:rsidRPr="0013655B">
        <w:t>ivotní prostředí</w:t>
      </w:r>
      <w:r>
        <w:t>, konkrétně tzv. proces SEA a EIA.</w:t>
      </w:r>
    </w:p>
    <w:p w:rsidR="00175CAB" w:rsidRPr="00E21156" w:rsidRDefault="00116A08" w:rsidP="002F7CE0">
      <w:pPr>
        <w:pStyle w:val="Nadpis2"/>
      </w:pPr>
      <w:bookmarkStart w:id="14" w:name="_Toc407035544"/>
      <w:bookmarkStart w:id="15" w:name="_Toc420055987"/>
      <w:r>
        <w:t xml:space="preserve">Vysoká </w:t>
      </w:r>
      <w:r w:rsidR="00175CAB" w:rsidRPr="00E21156">
        <w:t>konkurenceschopnost výroby</w:t>
      </w:r>
      <w:r>
        <w:t xml:space="preserve"> elektrické energie</w:t>
      </w:r>
      <w:r w:rsidR="00175CAB" w:rsidRPr="00E21156">
        <w:t xml:space="preserve"> </w:t>
      </w:r>
      <w:bookmarkEnd w:id="14"/>
      <w:r w:rsidR="007C2EC3">
        <w:t>v JE</w:t>
      </w:r>
      <w:bookmarkEnd w:id="15"/>
    </w:p>
    <w:p w:rsidR="00B72CE6" w:rsidRPr="000B2CCA" w:rsidRDefault="00B72CE6" w:rsidP="000B2CCA">
      <w:pPr>
        <w:jc w:val="both"/>
      </w:pPr>
      <w:r w:rsidRPr="000B2CCA">
        <w:t xml:space="preserve">Z hlediska ekonomické efektivnosti, resp. konkurenceschopnosti výroby je na místě zohlednit tři faktory: (1) celkové náklady na výstavbu a provoz nového zdroje vztažené na vyrobenou </w:t>
      </w:r>
      <w:proofErr w:type="spellStart"/>
      <w:r w:rsidRPr="000B2CCA">
        <w:t>MWh</w:t>
      </w:r>
      <w:proofErr w:type="spellEnd"/>
      <w:r w:rsidRPr="000B2CCA">
        <w:t xml:space="preserve">, (2) stabilitu a výši provozních nákladů, a to i v krizových stavech a (3) dopad na české hospodářství. </w:t>
      </w:r>
    </w:p>
    <w:p w:rsidR="00B72CE6" w:rsidRPr="000B2CCA" w:rsidRDefault="00B72CE6" w:rsidP="000B2CCA">
      <w:pPr>
        <w:jc w:val="both"/>
      </w:pPr>
      <w:r w:rsidRPr="000B2CCA">
        <w:t xml:space="preserve">Ad 1) Celkové náklady na výstavbu a provoz jaderného zdroje, vztažené na vyrobenou </w:t>
      </w:r>
      <w:proofErr w:type="spellStart"/>
      <w:r w:rsidRPr="000B2CCA">
        <w:t>MWh</w:t>
      </w:r>
      <w:proofErr w:type="spellEnd"/>
      <w:r w:rsidRPr="000B2CCA">
        <w:t>, jsou jedny z nejnižších mezi nízko</w:t>
      </w:r>
      <w:r w:rsidR="0050410C">
        <w:t>-</w:t>
      </w:r>
      <w:r w:rsidRPr="000B2CCA">
        <w:t>emisními zdroji s výrobou v základním zatížení. To je dáno nízkými provozními náklady a skutečností, že velké počáteční investice jsou do nákladů rozpouštěny v průběhu dlouhé životnosti.</w:t>
      </w:r>
    </w:p>
    <w:p w:rsidR="00B72CE6" w:rsidRPr="000B2CCA" w:rsidRDefault="00B72CE6" w:rsidP="000B2CCA">
      <w:pPr>
        <w:jc w:val="both"/>
      </w:pPr>
      <w:r w:rsidRPr="000B2CCA">
        <w:t>Ad 2) Výše a stabilita provozních nákladů je důležitá z důvodu zapojování zdrojů do soustavy: v</w:t>
      </w:r>
      <w:r w:rsidR="00E963D2">
        <w:t> </w:t>
      </w:r>
      <w:r w:rsidRPr="000B2CCA">
        <w:t xml:space="preserve">deregulovaném prostředí energetického trhu jsou zdroje zapojovány dle výše variabilních/provozních nákladů (tzv. merit </w:t>
      </w:r>
      <w:proofErr w:type="spellStart"/>
      <w:r w:rsidRPr="000B2CCA">
        <w:t>order</w:t>
      </w:r>
      <w:proofErr w:type="spellEnd"/>
      <w:r w:rsidRPr="000B2CCA">
        <w:t xml:space="preserve"> efekt). Ty má jaderný zdroj v zásadě pouze na úrovni palivových nákladů, které jsou okolo 10 EUR/</w:t>
      </w:r>
      <w:proofErr w:type="spellStart"/>
      <w:r w:rsidRPr="000B2CCA">
        <w:t>MWh</w:t>
      </w:r>
      <w:proofErr w:type="spellEnd"/>
      <w:r w:rsidRPr="000B2CCA">
        <w:t xml:space="preserve">. I při nízkých scénářích vývoje </w:t>
      </w:r>
      <w:r w:rsidRPr="000B2CCA">
        <w:lastRenderedPageBreak/>
        <w:t xml:space="preserve">energetického trhu lze jen těžko předpokládat, že by dlouhodobá cena elektrické energie poklesla na tuto úroveň. Při takto nízkých cenách by si však zdroj nepokryl své fixní náklady a prvotní investici. </w:t>
      </w:r>
    </w:p>
    <w:p w:rsidR="00B72CE6" w:rsidRPr="000B2CCA" w:rsidRDefault="00B72CE6" w:rsidP="000B2CCA">
      <w:pPr>
        <w:jc w:val="both"/>
      </w:pPr>
      <w:r w:rsidRPr="000B2CCA">
        <w:t>Ad 3) Výstavba a provoz nového jaderného zdroje může mít významný dopad na české hospodářství: v případě výstavby nového jaderného zdroje zůstane až 70 % investice v ČR. Dopad provozu jaderného zdroje do regionální ekonomiky je významný z důvodů kontraktace lokálních a českých firem při investicích do provozu a údržby.</w:t>
      </w:r>
    </w:p>
    <w:p w:rsidR="00C54EC6" w:rsidRPr="00C54EC6" w:rsidRDefault="00C54EC6" w:rsidP="00C54EC6">
      <w:pPr>
        <w:pStyle w:val="Titulek"/>
        <w:keepNext/>
        <w:jc w:val="both"/>
        <w:rPr>
          <w:color w:val="auto"/>
          <w:sz w:val="24"/>
          <w:szCs w:val="24"/>
        </w:rPr>
      </w:pPr>
      <w:bookmarkStart w:id="16" w:name="_Toc420058299"/>
      <w:r w:rsidRPr="00C54EC6">
        <w:rPr>
          <w:color w:val="auto"/>
          <w:sz w:val="24"/>
          <w:szCs w:val="24"/>
        </w:rPr>
        <w:t xml:space="preserve">Graf č. </w:t>
      </w:r>
      <w:r w:rsidRPr="00C54EC6">
        <w:rPr>
          <w:color w:val="auto"/>
          <w:sz w:val="24"/>
          <w:szCs w:val="24"/>
        </w:rPr>
        <w:fldChar w:fldCharType="begin"/>
      </w:r>
      <w:r w:rsidRPr="00C54EC6">
        <w:rPr>
          <w:color w:val="auto"/>
          <w:sz w:val="24"/>
          <w:szCs w:val="24"/>
        </w:rPr>
        <w:instrText xml:space="preserve"> SEQ Graf_č. \* ARABIC </w:instrText>
      </w:r>
      <w:r w:rsidRPr="00C54EC6">
        <w:rPr>
          <w:color w:val="auto"/>
          <w:sz w:val="24"/>
          <w:szCs w:val="24"/>
        </w:rPr>
        <w:fldChar w:fldCharType="separate"/>
      </w:r>
      <w:r w:rsidR="007B491F">
        <w:rPr>
          <w:noProof/>
          <w:color w:val="auto"/>
          <w:sz w:val="24"/>
          <w:szCs w:val="24"/>
        </w:rPr>
        <w:t>1</w:t>
      </w:r>
      <w:r w:rsidRPr="00C54EC6">
        <w:rPr>
          <w:color w:val="auto"/>
          <w:sz w:val="24"/>
          <w:szCs w:val="24"/>
        </w:rPr>
        <w:fldChar w:fldCharType="end"/>
      </w:r>
      <w:r w:rsidRPr="00C54EC6">
        <w:rPr>
          <w:color w:val="auto"/>
          <w:sz w:val="24"/>
          <w:szCs w:val="24"/>
        </w:rPr>
        <w:t xml:space="preserve">: </w:t>
      </w:r>
      <w:r w:rsidR="000814CF">
        <w:rPr>
          <w:b w:val="0"/>
          <w:i/>
          <w:color w:val="auto"/>
          <w:sz w:val="24"/>
          <w:szCs w:val="24"/>
        </w:rPr>
        <w:t>Měrné náklady na výrobu elektřiny</w:t>
      </w:r>
      <w:r w:rsidRPr="00C54EC6">
        <w:rPr>
          <w:b w:val="0"/>
          <w:i/>
          <w:color w:val="auto"/>
          <w:sz w:val="24"/>
          <w:szCs w:val="24"/>
        </w:rPr>
        <w:t xml:space="preserve"> pro jednotlivé typy elektráren v ČR</w:t>
      </w:r>
      <w:bookmarkEnd w:id="16"/>
    </w:p>
    <w:p w:rsidR="00E74EB4" w:rsidRDefault="003E2268" w:rsidP="001B37B2">
      <w:pPr>
        <w:jc w:val="both"/>
      </w:pPr>
      <w:r>
        <w:rPr>
          <w:noProof/>
          <w:lang w:eastAsia="cs-CZ"/>
        </w:rPr>
        <w:drawing>
          <wp:inline distT="0" distB="0" distL="0" distR="0" wp14:anchorId="0FC1E031" wp14:editId="1BC26895">
            <wp:extent cx="5762625" cy="3952875"/>
            <wp:effectExtent l="0" t="0" r="9525" b="9525"/>
            <wp:docPr id="2048" name="Obrázek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952875"/>
                    </a:xfrm>
                    <a:prstGeom prst="rect">
                      <a:avLst/>
                    </a:prstGeom>
                    <a:noFill/>
                    <a:ln>
                      <a:noFill/>
                    </a:ln>
                  </pic:spPr>
                </pic:pic>
              </a:graphicData>
            </a:graphic>
          </wp:inline>
        </w:drawing>
      </w:r>
    </w:p>
    <w:p w:rsidR="00267E16" w:rsidRDefault="00267E16" w:rsidP="00267E16">
      <w:pPr>
        <w:pStyle w:val="Textkomente"/>
        <w:jc w:val="right"/>
        <w:rPr>
          <w:sz w:val="22"/>
          <w:szCs w:val="22"/>
        </w:rPr>
      </w:pPr>
      <w:r w:rsidRPr="00267E16">
        <w:rPr>
          <w:sz w:val="22"/>
          <w:szCs w:val="22"/>
        </w:rPr>
        <w:t xml:space="preserve">Zdroj: </w:t>
      </w:r>
      <w:r w:rsidR="00C54EC6">
        <w:rPr>
          <w:sz w:val="22"/>
          <w:szCs w:val="22"/>
        </w:rPr>
        <w:t>IEA (</w:t>
      </w:r>
      <w:proofErr w:type="spellStart"/>
      <w:r w:rsidR="00C54EC6">
        <w:rPr>
          <w:sz w:val="22"/>
          <w:szCs w:val="22"/>
        </w:rPr>
        <w:t>P</w:t>
      </w:r>
      <w:r w:rsidRPr="00267E16">
        <w:rPr>
          <w:sz w:val="22"/>
          <w:szCs w:val="22"/>
        </w:rPr>
        <w:t>rojected</w:t>
      </w:r>
      <w:proofErr w:type="spellEnd"/>
      <w:r w:rsidRPr="00267E16">
        <w:rPr>
          <w:sz w:val="22"/>
          <w:szCs w:val="22"/>
        </w:rPr>
        <w:t xml:space="preserve"> </w:t>
      </w:r>
      <w:proofErr w:type="spellStart"/>
      <w:r w:rsidRPr="00267E16">
        <w:rPr>
          <w:sz w:val="22"/>
          <w:szCs w:val="22"/>
        </w:rPr>
        <w:t>cost</w:t>
      </w:r>
      <w:r w:rsidR="0050410C">
        <w:rPr>
          <w:sz w:val="22"/>
          <w:szCs w:val="22"/>
        </w:rPr>
        <w:t>s</w:t>
      </w:r>
      <w:proofErr w:type="spellEnd"/>
      <w:r w:rsidRPr="00267E16">
        <w:rPr>
          <w:sz w:val="22"/>
          <w:szCs w:val="22"/>
        </w:rPr>
        <w:t xml:space="preserve"> </w:t>
      </w:r>
      <w:proofErr w:type="spellStart"/>
      <w:r w:rsidRPr="00267E16">
        <w:rPr>
          <w:sz w:val="22"/>
          <w:szCs w:val="22"/>
        </w:rPr>
        <w:t>of</w:t>
      </w:r>
      <w:proofErr w:type="spellEnd"/>
      <w:r w:rsidR="00C54EC6">
        <w:rPr>
          <w:sz w:val="22"/>
          <w:szCs w:val="22"/>
        </w:rPr>
        <w:t xml:space="preserve"> </w:t>
      </w:r>
      <w:proofErr w:type="spellStart"/>
      <w:r w:rsidR="00C54EC6">
        <w:rPr>
          <w:sz w:val="22"/>
          <w:szCs w:val="22"/>
        </w:rPr>
        <w:t>generating</w:t>
      </w:r>
      <w:proofErr w:type="spellEnd"/>
      <w:r w:rsidR="00C54EC6">
        <w:rPr>
          <w:sz w:val="22"/>
          <w:szCs w:val="22"/>
        </w:rPr>
        <w:t xml:space="preserve"> elektricity, 2010</w:t>
      </w:r>
      <w:r w:rsidRPr="00267E16">
        <w:rPr>
          <w:sz w:val="22"/>
          <w:szCs w:val="22"/>
        </w:rPr>
        <w:t>)</w:t>
      </w:r>
    </w:p>
    <w:p w:rsidR="00E1664C" w:rsidRDefault="00E1664C" w:rsidP="00C42583">
      <w:pPr>
        <w:pStyle w:val="Textkomente"/>
        <w:spacing w:line="276" w:lineRule="auto"/>
        <w:jc w:val="both"/>
        <w:rPr>
          <w:sz w:val="22"/>
          <w:szCs w:val="22"/>
        </w:rPr>
      </w:pPr>
      <w:bookmarkStart w:id="17" w:name="_Toc407035545"/>
      <w:r>
        <w:rPr>
          <w:sz w:val="22"/>
          <w:szCs w:val="22"/>
        </w:rPr>
        <w:t>Výše uvedený graf ukazuje srovnání měrných nákladů jednotlivých zdrojů elektrické energie určených pro jejich provoz v České republice. Z hlediska aktuálnosti uvedených údajů lze konstatovat, že data stanovená pro zdroje využívající neobnovitelné formy energie se dlouhodobě nemění. Naproti tomu velikost měrných nákladů pro obnovitelné zdroje energie se stále vyvíjí, a to zejména s ohledem na ceny jednotlivých technol</w:t>
      </w:r>
      <w:r w:rsidR="00554314">
        <w:rPr>
          <w:sz w:val="22"/>
          <w:szCs w:val="22"/>
        </w:rPr>
        <w:t>o</w:t>
      </w:r>
      <w:r>
        <w:rPr>
          <w:sz w:val="22"/>
          <w:szCs w:val="22"/>
        </w:rPr>
        <w:t xml:space="preserve">gií projevujících se ve výši investic do jejich výstavby. Poněkud </w:t>
      </w:r>
      <w:r w:rsidR="00554314">
        <w:rPr>
          <w:sz w:val="22"/>
          <w:szCs w:val="22"/>
        </w:rPr>
        <w:t xml:space="preserve">aktuálnější </w:t>
      </w:r>
      <w:r>
        <w:rPr>
          <w:sz w:val="22"/>
          <w:szCs w:val="22"/>
        </w:rPr>
        <w:t>údaje pro tyto zdroje pak uvádí následující graf ukazující rozmezí, v němž se pohybují měrné náklady na výrobu elektřiny pro jednotlivé druhy obnovitelných zdrojů, a vážené průměry těchto nákladů pro jednotlivé světové regiony včetně Evropy jako celku, zahrnujícího v sobě země s velmi odlišnými meteorologickými podmínkami. Konkrétní hodnotu pro Českou republiku však nelze z tohoto grafu určit a je tedy třeba tato data brát s jistou rezervou. Na základě obou grafů je možné uvést, že ačkoli trend postupného snižování měrných nákladů na výrobu elektřiny v obnovitelných zdrojích je zatím zachován, jejich hodnoty stále převyšují výrobní náklady dosahované klasickými technologiemi, zvláště pak v meteorologických podmínkách ČR.</w:t>
      </w:r>
    </w:p>
    <w:p w:rsidR="00E1664C" w:rsidRDefault="00E1664C" w:rsidP="00E1664C">
      <w:pPr>
        <w:pStyle w:val="Textkomente"/>
        <w:keepNext/>
        <w:jc w:val="both"/>
        <w:rPr>
          <w:sz w:val="22"/>
          <w:szCs w:val="22"/>
        </w:rPr>
      </w:pPr>
      <w:bookmarkStart w:id="18" w:name="_Toc420058300"/>
      <w:r w:rsidRPr="00E1664C">
        <w:rPr>
          <w:b/>
          <w:sz w:val="24"/>
          <w:szCs w:val="24"/>
        </w:rPr>
        <w:lastRenderedPageBreak/>
        <w:t xml:space="preserve">Graf č. </w:t>
      </w:r>
      <w:r w:rsidRPr="00E1664C">
        <w:rPr>
          <w:b/>
          <w:sz w:val="24"/>
          <w:szCs w:val="24"/>
        </w:rPr>
        <w:fldChar w:fldCharType="begin"/>
      </w:r>
      <w:r w:rsidRPr="00E1664C">
        <w:rPr>
          <w:b/>
          <w:sz w:val="24"/>
          <w:szCs w:val="24"/>
        </w:rPr>
        <w:instrText xml:space="preserve"> SEQ Graf_č. \* ARABIC </w:instrText>
      </w:r>
      <w:r w:rsidRPr="00E1664C">
        <w:rPr>
          <w:b/>
          <w:sz w:val="24"/>
          <w:szCs w:val="24"/>
        </w:rPr>
        <w:fldChar w:fldCharType="separate"/>
      </w:r>
      <w:r w:rsidRPr="00E1664C">
        <w:rPr>
          <w:b/>
          <w:noProof/>
          <w:sz w:val="24"/>
          <w:szCs w:val="24"/>
        </w:rPr>
        <w:t>2</w:t>
      </w:r>
      <w:r w:rsidRPr="00E1664C">
        <w:rPr>
          <w:b/>
          <w:sz w:val="24"/>
          <w:szCs w:val="24"/>
        </w:rPr>
        <w:fldChar w:fldCharType="end"/>
      </w:r>
      <w:r w:rsidRPr="00E1664C">
        <w:rPr>
          <w:b/>
          <w:sz w:val="24"/>
          <w:szCs w:val="24"/>
        </w:rPr>
        <w:t>:</w:t>
      </w:r>
      <w:r w:rsidRPr="00E1664C">
        <w:rPr>
          <w:sz w:val="24"/>
          <w:szCs w:val="24"/>
        </w:rPr>
        <w:t xml:space="preserve"> </w:t>
      </w:r>
      <w:r w:rsidRPr="00E1664C">
        <w:rPr>
          <w:i/>
          <w:sz w:val="24"/>
          <w:szCs w:val="24"/>
        </w:rPr>
        <w:t>Měrné náklady na výrobu elektřiny</w:t>
      </w:r>
      <w:r>
        <w:rPr>
          <w:i/>
          <w:sz w:val="24"/>
          <w:szCs w:val="24"/>
        </w:rPr>
        <w:t xml:space="preserve"> z obnovitelných zdrojů</w:t>
      </w:r>
      <w:r w:rsidR="00471F02">
        <w:rPr>
          <w:i/>
          <w:sz w:val="24"/>
          <w:szCs w:val="24"/>
        </w:rPr>
        <w:t xml:space="preserve"> ve světě</w:t>
      </w:r>
      <w:bookmarkEnd w:id="18"/>
      <w:r>
        <w:rPr>
          <w:b/>
          <w:i/>
          <w:sz w:val="24"/>
          <w:szCs w:val="24"/>
        </w:rPr>
        <w:t xml:space="preserve"> </w:t>
      </w:r>
    </w:p>
    <w:p w:rsidR="00E1664C" w:rsidRDefault="00E1664C" w:rsidP="00E1664C">
      <w:pPr>
        <w:pStyle w:val="Textkomente"/>
        <w:keepLines/>
        <w:jc w:val="center"/>
        <w:rPr>
          <w:sz w:val="22"/>
          <w:szCs w:val="22"/>
        </w:rPr>
      </w:pPr>
      <w:r>
        <w:rPr>
          <w:noProof/>
          <w:lang w:eastAsia="cs-CZ"/>
        </w:rPr>
        <w:drawing>
          <wp:inline distT="0" distB="0" distL="0" distR="0" wp14:anchorId="5050EE4B" wp14:editId="4BD28B4A">
            <wp:extent cx="5295600" cy="45036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E OZE IRENA.png"/>
                    <pic:cNvPicPr/>
                  </pic:nvPicPr>
                  <pic:blipFill>
                    <a:blip r:embed="rId14">
                      <a:extLst>
                        <a:ext uri="{28A0092B-C50C-407E-A947-70E740481C1C}">
                          <a14:useLocalDpi xmlns:a14="http://schemas.microsoft.com/office/drawing/2010/main" val="0"/>
                        </a:ext>
                      </a:extLst>
                    </a:blip>
                    <a:stretch>
                      <a:fillRect/>
                    </a:stretch>
                  </pic:blipFill>
                  <pic:spPr>
                    <a:xfrm>
                      <a:off x="0" y="0"/>
                      <a:ext cx="5295600" cy="4503600"/>
                    </a:xfrm>
                    <a:prstGeom prst="rect">
                      <a:avLst/>
                    </a:prstGeom>
                  </pic:spPr>
                </pic:pic>
              </a:graphicData>
            </a:graphic>
          </wp:inline>
        </w:drawing>
      </w:r>
      <w:r w:rsidRPr="00E1664C">
        <w:rPr>
          <w:sz w:val="22"/>
          <w:szCs w:val="22"/>
        </w:rPr>
        <w:t xml:space="preserve"> </w:t>
      </w:r>
    </w:p>
    <w:p w:rsidR="00E1664C" w:rsidRPr="00C42583" w:rsidRDefault="00E1664C" w:rsidP="00C42583">
      <w:pPr>
        <w:jc w:val="right"/>
        <w:rPr>
          <w:i/>
        </w:rPr>
      </w:pPr>
      <w:r w:rsidRPr="00C42583">
        <w:rPr>
          <w:i/>
        </w:rPr>
        <w:t xml:space="preserve">Zdroj: International </w:t>
      </w:r>
      <w:proofErr w:type="spellStart"/>
      <w:r w:rsidRPr="00C42583">
        <w:rPr>
          <w:i/>
        </w:rPr>
        <w:t>Renewable</w:t>
      </w:r>
      <w:proofErr w:type="spellEnd"/>
      <w:r w:rsidRPr="00C42583">
        <w:rPr>
          <w:i/>
        </w:rPr>
        <w:t xml:space="preserve"> </w:t>
      </w:r>
      <w:proofErr w:type="spellStart"/>
      <w:r w:rsidRPr="00C42583">
        <w:rPr>
          <w:i/>
        </w:rPr>
        <w:t>Energy</w:t>
      </w:r>
      <w:proofErr w:type="spellEnd"/>
      <w:r w:rsidRPr="00C42583">
        <w:rPr>
          <w:i/>
        </w:rPr>
        <w:t xml:space="preserve"> </w:t>
      </w:r>
      <w:proofErr w:type="spellStart"/>
      <w:r w:rsidRPr="00C42583">
        <w:rPr>
          <w:i/>
        </w:rPr>
        <w:t>Agency</w:t>
      </w:r>
      <w:proofErr w:type="spellEnd"/>
      <w:r w:rsidRPr="00C42583">
        <w:rPr>
          <w:i/>
        </w:rPr>
        <w:t xml:space="preserve"> (</w:t>
      </w:r>
      <w:proofErr w:type="spellStart"/>
      <w:r w:rsidRPr="00C42583">
        <w:rPr>
          <w:i/>
        </w:rPr>
        <w:t>Renewable</w:t>
      </w:r>
      <w:proofErr w:type="spellEnd"/>
      <w:r w:rsidRPr="00C42583">
        <w:rPr>
          <w:i/>
        </w:rPr>
        <w:t xml:space="preserve"> </w:t>
      </w:r>
      <w:proofErr w:type="spellStart"/>
      <w:r w:rsidRPr="00C42583">
        <w:rPr>
          <w:i/>
        </w:rPr>
        <w:t>power</w:t>
      </w:r>
      <w:proofErr w:type="spellEnd"/>
      <w:r w:rsidRPr="00C42583">
        <w:rPr>
          <w:i/>
        </w:rPr>
        <w:t xml:space="preserve"> </w:t>
      </w:r>
      <w:proofErr w:type="spellStart"/>
      <w:r w:rsidRPr="00C42583">
        <w:rPr>
          <w:i/>
        </w:rPr>
        <w:t>generation</w:t>
      </w:r>
      <w:proofErr w:type="spellEnd"/>
      <w:r w:rsidRPr="00C42583">
        <w:rPr>
          <w:i/>
        </w:rPr>
        <w:t xml:space="preserve"> </w:t>
      </w:r>
      <w:proofErr w:type="spellStart"/>
      <w:r w:rsidRPr="00C42583">
        <w:rPr>
          <w:i/>
        </w:rPr>
        <w:t>costs</w:t>
      </w:r>
      <w:proofErr w:type="spellEnd"/>
      <w:r w:rsidRPr="00C42583">
        <w:rPr>
          <w:i/>
        </w:rPr>
        <w:t xml:space="preserve"> in 2014, 2015)</w:t>
      </w:r>
    </w:p>
    <w:p w:rsidR="00C70B80" w:rsidRPr="00E21156" w:rsidRDefault="00C70B80" w:rsidP="00C70B80">
      <w:pPr>
        <w:pStyle w:val="Nadpis2"/>
      </w:pPr>
      <w:bookmarkStart w:id="19" w:name="_Toc420055988"/>
      <w:r w:rsidRPr="00E21156">
        <w:t>Transparentnost a přijatelnost pro obyvatelstvo</w:t>
      </w:r>
      <w:bookmarkEnd w:id="17"/>
      <w:bookmarkEnd w:id="19"/>
    </w:p>
    <w:p w:rsidR="00C70B80" w:rsidRPr="001B37B2" w:rsidRDefault="00C70B80" w:rsidP="00C70B80">
      <w:pPr>
        <w:jc w:val="both"/>
      </w:pPr>
      <w:r w:rsidRPr="001B37B2">
        <w:t xml:space="preserve">Akceptace ze strany veřejnosti je </w:t>
      </w:r>
      <w:r w:rsidR="00116A08">
        <w:t xml:space="preserve">jeden ze </w:t>
      </w:r>
      <w:r w:rsidRPr="001B37B2">
        <w:t>základní</w:t>
      </w:r>
      <w:r w:rsidR="00116A08">
        <w:t>ch</w:t>
      </w:r>
      <w:r w:rsidRPr="001B37B2">
        <w:t xml:space="preserve"> předpoklad</w:t>
      </w:r>
      <w:r w:rsidR="00116A08">
        <w:t xml:space="preserve">ů </w:t>
      </w:r>
      <w:r w:rsidRPr="001B37B2">
        <w:t xml:space="preserve">pro </w:t>
      </w:r>
      <w:r w:rsidR="00116A08">
        <w:t xml:space="preserve">výstavbu a </w:t>
      </w:r>
      <w:r w:rsidRPr="001B37B2">
        <w:t xml:space="preserve">provoz jaderného zdroje. Pro její </w:t>
      </w:r>
      <w:r w:rsidR="00116A08">
        <w:t xml:space="preserve">dosažení </w:t>
      </w:r>
      <w:r w:rsidRPr="001B37B2">
        <w:t xml:space="preserve">je podstatná </w:t>
      </w:r>
      <w:r w:rsidR="008A22B4">
        <w:t>informovanost, kterou zajišťuje</w:t>
      </w:r>
      <w:r w:rsidRPr="001B37B2">
        <w:t xml:space="preserve"> jak vláda a Státní úřad pro jadernou bezpečnost, tak provozovatel a probíhá různými kanály, a to jak o provozu, tak o dalším rozvoji, výhodách a</w:t>
      </w:r>
      <w:r w:rsidR="00AE2E6B">
        <w:t> </w:t>
      </w:r>
      <w:r w:rsidRPr="001B37B2">
        <w:t xml:space="preserve">nevýhodách jejího využití. Akceptace se mění v čase </w:t>
      </w:r>
      <w:r w:rsidR="00286F7C">
        <w:t>k</w:t>
      </w:r>
      <w:r w:rsidRPr="001B37B2">
        <w:t>vůli mnoha faktorům, jejichž část je mimo kontrolu komunikačních kanálů – včetně politických, ekonomických, sociálních a</w:t>
      </w:r>
      <w:r w:rsidR="00C223D0">
        <w:t> </w:t>
      </w:r>
      <w:r w:rsidRPr="001B37B2">
        <w:t xml:space="preserve">psychologických. Ačkoli je pravděpodobnost závažných situací a havárií </w:t>
      </w:r>
      <w:r w:rsidR="008A22B4">
        <w:t>minimální</w:t>
      </w:r>
      <w:r w:rsidRPr="001B37B2">
        <w:t>, je jaderná bezpečnost hlavním pilířem komunikace, vedle zabezpečení, ukládání radioaktivního odpadu a</w:t>
      </w:r>
      <w:r w:rsidR="00C223D0">
        <w:t> </w:t>
      </w:r>
      <w:r w:rsidRPr="001B37B2">
        <w:t>možného zneužití radioaktivních materiálů.</w:t>
      </w:r>
    </w:p>
    <w:p w:rsidR="00C70B80" w:rsidRPr="001B37B2" w:rsidRDefault="00C70B80" w:rsidP="00C70B80">
      <w:pPr>
        <w:jc w:val="both"/>
      </w:pPr>
      <w:r w:rsidRPr="001B37B2">
        <w:t>Podle statistických dat, podporuje většina obyvatel celé ČR, stejně jako obou lokalit Temelín a</w:t>
      </w:r>
      <w:r w:rsidR="00AE2E6B">
        <w:t> </w:t>
      </w:r>
      <w:r w:rsidRPr="001B37B2">
        <w:t xml:space="preserve">Dukovany, provoz stávajících jaderných zařízení a jejich rozvoj. Je možné konstatovat, že ve středně a dlouhodobém horizontu se osvědčila maximálně transparentní komunikační politika provozovatele. Je třeba objektivně konstatovat, že v případě elektrárny Temelín </w:t>
      </w:r>
      <w:r w:rsidR="00720503">
        <w:t xml:space="preserve">byl pro nastavení transparentní komunikační politiky uzavřen </w:t>
      </w:r>
      <w:r w:rsidRPr="001B37B2">
        <w:t xml:space="preserve">tzv. Protokol z Melku, který ukládá zasílání informačního reportu. </w:t>
      </w:r>
      <w:r w:rsidR="00720503">
        <w:t>Následné r</w:t>
      </w:r>
      <w:r w:rsidRPr="001B37B2">
        <w:t xml:space="preserve">ozhodnutí provozovatele zasílat stejný report všem </w:t>
      </w:r>
      <w:proofErr w:type="spellStart"/>
      <w:r w:rsidRPr="001B37B2">
        <w:t>stakeholderům</w:t>
      </w:r>
      <w:proofErr w:type="spellEnd"/>
      <w:r w:rsidRPr="001B37B2">
        <w:t xml:space="preserve"> a zájemcům může být jednou z příčin velmi vysokého hodnocení transparentnosti v nezávislých průzkumech v lokalitách </w:t>
      </w:r>
      <w:r w:rsidRPr="001B37B2">
        <w:lastRenderedPageBreak/>
        <w:t xml:space="preserve">obou českých JE. </w:t>
      </w:r>
      <w:proofErr w:type="gramStart"/>
      <w:r w:rsidRPr="001B37B2">
        <w:t>Rovněž</w:t>
      </w:r>
      <w:proofErr w:type="gramEnd"/>
      <w:r w:rsidRPr="001B37B2">
        <w:t xml:space="preserve"> program setkávání zástupců občanů s</w:t>
      </w:r>
      <w:r w:rsidR="00AE2E6B">
        <w:t> </w:t>
      </w:r>
      <w:r w:rsidRPr="001B37B2">
        <w:t xml:space="preserve">vedením a pracovníky obou JE </w:t>
      </w:r>
      <w:r w:rsidR="00ED0FF3">
        <w:t>přispívá k</w:t>
      </w:r>
      <w:r w:rsidRPr="001B37B2">
        <w:t xml:space="preserve"> velmi vysoké</w:t>
      </w:r>
      <w:r w:rsidR="00583A76">
        <w:t>mu</w:t>
      </w:r>
      <w:r w:rsidRPr="001B37B2">
        <w:t xml:space="preserve"> hodnocení jejich důvěryhodnosti v lokalitách </w:t>
      </w:r>
      <w:proofErr w:type="gramStart"/>
      <w:r w:rsidRPr="001B37B2">
        <w:t>JE.</w:t>
      </w:r>
      <w:proofErr w:type="gramEnd"/>
    </w:p>
    <w:p w:rsidR="00C70B80" w:rsidRDefault="00C70B80" w:rsidP="00C70B80">
      <w:pPr>
        <w:jc w:val="both"/>
      </w:pPr>
      <w:r w:rsidRPr="001B37B2">
        <w:t>V současné době se v ČR o jadernou energetiku zajímá téměř 70</w:t>
      </w:r>
      <w:r w:rsidR="00B8341D">
        <w:t> </w:t>
      </w:r>
      <w:r w:rsidRPr="001B37B2">
        <w:t>% populace. Celkem 96</w:t>
      </w:r>
      <w:r w:rsidR="00B8341D">
        <w:t> </w:t>
      </w:r>
      <w:r w:rsidRPr="001B37B2">
        <w:t>% respondentů průzkumu si myslí, že by Česká republika měla zůstat i do budoucna soběstačná ve výrobě elektrické energie</w:t>
      </w:r>
      <w:r w:rsidR="00ED0FF3">
        <w:t>,</w:t>
      </w:r>
      <w:r w:rsidRPr="001B37B2">
        <w:t xml:space="preserve"> rozhodně pro je 51</w:t>
      </w:r>
      <w:r>
        <w:t xml:space="preserve"> </w:t>
      </w:r>
      <w:r w:rsidRPr="001B37B2">
        <w:t xml:space="preserve">%. Podpora jaderné energetiky je celoevropsky na předních místech (průzkumy v ČR i </w:t>
      </w:r>
      <w:proofErr w:type="spellStart"/>
      <w:r w:rsidRPr="001B37B2">
        <w:t>Eurostat</w:t>
      </w:r>
      <w:proofErr w:type="spellEnd"/>
      <w:r w:rsidRPr="001B37B2">
        <w:t>) a pohybuje se okolo 65</w:t>
      </w:r>
      <w:r w:rsidR="00B8341D">
        <w:t> </w:t>
      </w:r>
      <w:r w:rsidRPr="001B37B2">
        <w:t>% - 70</w:t>
      </w:r>
      <w:r w:rsidR="00B8341D">
        <w:t> </w:t>
      </w:r>
      <w:r w:rsidRPr="001B37B2">
        <w:t xml:space="preserve">% s výkyvy podle externích vlivů (např. havárie na JE </w:t>
      </w:r>
      <w:proofErr w:type="spellStart"/>
      <w:r w:rsidRPr="001B37B2">
        <w:t>Fukushima</w:t>
      </w:r>
      <w:proofErr w:type="spellEnd"/>
      <w:r w:rsidRPr="001B37B2">
        <w:t>, dlouhodobá perspektiva a jasné pos</w:t>
      </w:r>
      <w:r w:rsidR="00AE2E6B">
        <w:t>toje - postoj vlády).</w:t>
      </w:r>
    </w:p>
    <w:p w:rsidR="00EA1E27" w:rsidRPr="00F3643D" w:rsidRDefault="00EA1E27" w:rsidP="00EA1E27">
      <w:pPr>
        <w:jc w:val="both"/>
        <w:rPr>
          <w:rFonts w:cs="Arial"/>
        </w:rPr>
      </w:pPr>
      <w:r>
        <w:rPr>
          <w:rFonts w:cs="Arial"/>
        </w:rPr>
        <w:t xml:space="preserve">Obdobná vysoká míra transparentnosti a komunikace musí být věnována rovněž oblasti nakládání s jaderným palivem podél celého palivového cyklu. </w:t>
      </w:r>
      <w:r w:rsidRPr="00F3643D">
        <w:rPr>
          <w:rFonts w:cs="Arial"/>
        </w:rPr>
        <w:t xml:space="preserve">Je zřejmé, že zneškodnění </w:t>
      </w:r>
      <w:r w:rsidR="00104DDB">
        <w:rPr>
          <w:rFonts w:cs="Arial"/>
        </w:rPr>
        <w:t>radioaktivního odpadu (</w:t>
      </w:r>
      <w:r w:rsidRPr="00F3643D">
        <w:rPr>
          <w:rFonts w:cs="Arial"/>
        </w:rPr>
        <w:t>RAO</w:t>
      </w:r>
      <w:r w:rsidR="00104DDB">
        <w:rPr>
          <w:rFonts w:cs="Arial"/>
        </w:rPr>
        <w:t>)</w:t>
      </w:r>
      <w:r w:rsidRPr="00F3643D">
        <w:rPr>
          <w:rFonts w:cs="Arial"/>
        </w:rPr>
        <w:t xml:space="preserve"> a </w:t>
      </w:r>
      <w:r w:rsidR="00104DDB">
        <w:rPr>
          <w:rFonts w:cs="Arial"/>
        </w:rPr>
        <w:t>vyhořelého jaderného paliva (</w:t>
      </w:r>
      <w:r w:rsidRPr="00F3643D">
        <w:rPr>
          <w:rFonts w:cs="Arial"/>
        </w:rPr>
        <w:t>VJP</w:t>
      </w:r>
      <w:r w:rsidR="00104DDB">
        <w:rPr>
          <w:rFonts w:cs="Arial"/>
        </w:rPr>
        <w:t>)</w:t>
      </w:r>
      <w:r w:rsidRPr="00F3643D">
        <w:rPr>
          <w:rFonts w:cs="Arial"/>
        </w:rPr>
        <w:t xml:space="preserve"> musí být bezpečné a ekonomické</w:t>
      </w:r>
      <w:r>
        <w:rPr>
          <w:rFonts w:cs="Arial"/>
        </w:rPr>
        <w:t xml:space="preserve"> a také přijatelné</w:t>
      </w:r>
      <w:r w:rsidRPr="00F3643D">
        <w:rPr>
          <w:rFonts w:cs="Arial"/>
        </w:rPr>
        <w:t xml:space="preserve"> pro veřejnost. Zvolená řešení musí proto být nejenom bezpečná a ohleduplná k životnímu prostředí, ale musí být všeobecně přijímána jak v lokalitách, kde jsou či by měla být tato zařízení umístěna, tak širokou veřejností. Rozhodnutí o určitém řešení vyžaduje transparentní přístup, který zahrnuje také možnost veřejnosti se nejenom vyjádřit ke zvolenému řešení, ale i toto řešení aktivně ovlivnit. K tomu je nezbytné vytvořit patřičný institucionální a právní rámec, reflektující význam a jedinečnost projektu úložiště. </w:t>
      </w:r>
    </w:p>
    <w:p w:rsidR="00EA1E27" w:rsidRPr="00F3643D" w:rsidRDefault="00EA1E27" w:rsidP="00EA1E27">
      <w:pPr>
        <w:jc w:val="both"/>
        <w:rPr>
          <w:rFonts w:cs="Arial"/>
        </w:rPr>
      </w:pPr>
      <w:r w:rsidRPr="00F3643D">
        <w:rPr>
          <w:rFonts w:cs="Arial"/>
        </w:rPr>
        <w:t xml:space="preserve">Základním principem by mělo být vytváření partnerství a hledání rovnováhy mezi zájmy státu a zájmy obcí. Pro takovýto proces zapojení veřejnosti jsou významné tři níže uvedené oblasti, které je třeba naplňovat současně. </w:t>
      </w:r>
    </w:p>
    <w:p w:rsidR="00EA1E27" w:rsidRPr="00DE1A26" w:rsidRDefault="00EA1E27" w:rsidP="00286F78">
      <w:pPr>
        <w:pStyle w:val="Odstavecseseznamem"/>
        <w:numPr>
          <w:ilvl w:val="0"/>
          <w:numId w:val="31"/>
        </w:numPr>
        <w:ind w:left="714" w:hanging="357"/>
        <w:jc w:val="both"/>
        <w:rPr>
          <w:rFonts w:cs="Arial"/>
        </w:rPr>
      </w:pPr>
      <w:r w:rsidRPr="00DE1A26">
        <w:rPr>
          <w:rFonts w:cs="Arial"/>
        </w:rPr>
        <w:t>Dostupnost informací o konci palivovéh</w:t>
      </w:r>
      <w:r>
        <w:rPr>
          <w:rFonts w:cs="Arial"/>
        </w:rPr>
        <w:t xml:space="preserve">o cyklu a nakládání s RAO a VJP. </w:t>
      </w:r>
    </w:p>
    <w:p w:rsidR="00EA1E27" w:rsidRPr="00DE1A26" w:rsidRDefault="00EA1E27" w:rsidP="00286F78">
      <w:pPr>
        <w:pStyle w:val="Odstavecseseznamem"/>
        <w:numPr>
          <w:ilvl w:val="0"/>
          <w:numId w:val="31"/>
        </w:numPr>
        <w:ind w:left="714" w:hanging="357"/>
        <w:jc w:val="both"/>
        <w:rPr>
          <w:rFonts w:cs="Arial"/>
        </w:rPr>
      </w:pPr>
      <w:r w:rsidRPr="00DE1A26">
        <w:rPr>
          <w:rFonts w:cs="Arial"/>
        </w:rPr>
        <w:t>Motivace obcí je běžnou součástí procesu umísťování jaderných zařízení</w:t>
      </w:r>
      <w:r>
        <w:rPr>
          <w:rFonts w:cs="Arial"/>
        </w:rPr>
        <w:t>.</w:t>
      </w:r>
      <w:r w:rsidRPr="00DE1A26">
        <w:rPr>
          <w:rFonts w:cs="Arial"/>
        </w:rPr>
        <w:t xml:space="preserve"> Výhody pro obce dotčené umístěním skladu či úložištěm RAO obvykle představují opatření ve třech oblastech</w:t>
      </w:r>
      <w:r w:rsidR="00583A76">
        <w:rPr>
          <w:rFonts w:cs="Arial"/>
        </w:rPr>
        <w:t>, kterými jsou</w:t>
      </w:r>
      <w:r w:rsidR="00583A76" w:rsidRPr="00DE1A26">
        <w:rPr>
          <w:rFonts w:cs="Arial"/>
        </w:rPr>
        <w:t xml:space="preserve"> </w:t>
      </w:r>
      <w:r w:rsidRPr="00DE1A26">
        <w:rPr>
          <w:rFonts w:cs="Arial"/>
        </w:rPr>
        <w:t xml:space="preserve">peněžní podpora, sociální výhody, posílení pravomocí dotčených obcí. </w:t>
      </w:r>
    </w:p>
    <w:p w:rsidR="00C42583" w:rsidRDefault="00EA1E27" w:rsidP="00286F78">
      <w:pPr>
        <w:pStyle w:val="Odstavecseseznamem"/>
        <w:numPr>
          <w:ilvl w:val="0"/>
          <w:numId w:val="31"/>
        </w:numPr>
        <w:ind w:left="714" w:hanging="357"/>
        <w:jc w:val="both"/>
        <w:rPr>
          <w:rFonts w:cs="Arial"/>
        </w:rPr>
      </w:pPr>
      <w:r w:rsidRPr="00DE1A26">
        <w:rPr>
          <w:rFonts w:cs="Arial"/>
        </w:rPr>
        <w:t>Zapojení všech dotčených obcí a dalších subjektů do procesu rozhodování je významným prvkem k dosažení pokroku v přípravě jakéhokoliv zásadního projektu. „Pracovní skupina pro dialog o hlubinném úložišti“, jež zahrnuje kromě zástupců státu i zástupce obou parlamentních komor, zástupce všech uvažovaných lokalit a zástupce nevládních organizací</w:t>
      </w:r>
      <w:r>
        <w:rPr>
          <w:rFonts w:cs="Arial"/>
        </w:rPr>
        <w:t xml:space="preserve"> pracuje od roku 2011 a v roce 2014 byla transformována do stálé pracovní skupiny Rady vlády pro surovinovou a energetickou strategii</w:t>
      </w:r>
      <w:r w:rsidRPr="00DE1A26">
        <w:rPr>
          <w:rFonts w:cs="Arial"/>
        </w:rPr>
        <w:t>. Koncepce předpokládá, že garantem programu dlouhodobého partnerství bude vláda ČR.</w:t>
      </w:r>
    </w:p>
    <w:p w:rsidR="00C42583" w:rsidRDefault="00C42583">
      <w:pPr>
        <w:rPr>
          <w:rFonts w:cs="Arial"/>
        </w:rPr>
      </w:pPr>
      <w:r>
        <w:rPr>
          <w:rFonts w:cs="Arial"/>
        </w:rPr>
        <w:br w:type="page"/>
      </w:r>
    </w:p>
    <w:p w:rsidR="00C87055" w:rsidRDefault="00720503" w:rsidP="00C87055">
      <w:pPr>
        <w:pStyle w:val="Nadpis2"/>
      </w:pPr>
      <w:bookmarkStart w:id="20" w:name="_Toc407035546"/>
      <w:bookmarkStart w:id="21" w:name="_Toc420055989"/>
      <w:r>
        <w:lastRenderedPageBreak/>
        <w:t>Dlouhodobé zajištění j</w:t>
      </w:r>
      <w:r w:rsidR="00C87055" w:rsidRPr="00177F54">
        <w:t>adern</w:t>
      </w:r>
      <w:r>
        <w:t>ého</w:t>
      </w:r>
      <w:r w:rsidR="00C87055" w:rsidRPr="00177F54">
        <w:t xml:space="preserve"> palivov</w:t>
      </w:r>
      <w:r>
        <w:t>ého</w:t>
      </w:r>
      <w:r w:rsidR="00C87055" w:rsidRPr="00177F54">
        <w:t xml:space="preserve"> cyklu</w:t>
      </w:r>
      <w:bookmarkEnd w:id="20"/>
      <w:bookmarkEnd w:id="21"/>
    </w:p>
    <w:p w:rsidR="00C931E9" w:rsidRPr="00970E1E" w:rsidRDefault="00FB1947" w:rsidP="00C931E9">
      <w:pPr>
        <w:jc w:val="both"/>
      </w:pPr>
      <w:r>
        <w:t xml:space="preserve">Co se </w:t>
      </w:r>
      <w:r w:rsidR="007C2EC3">
        <w:t xml:space="preserve">týká </w:t>
      </w:r>
      <w:r>
        <w:t xml:space="preserve">strategie </w:t>
      </w:r>
      <w:r w:rsidR="00C931E9" w:rsidRPr="00970E1E">
        <w:t>palivového cyklu ČR</w:t>
      </w:r>
      <w:r>
        <w:t>, platí pro její jednotlivé oblasti:</w:t>
      </w:r>
    </w:p>
    <w:p w:rsidR="00C931E9" w:rsidRPr="006859CB" w:rsidRDefault="0002455E" w:rsidP="00286F78">
      <w:pPr>
        <w:pStyle w:val="Nadpis3"/>
      </w:pPr>
      <w:bookmarkStart w:id="22" w:name="_Toc420055990"/>
      <w:r>
        <w:t>Přírodní u</w:t>
      </w:r>
      <w:r w:rsidR="00C931E9" w:rsidRPr="006859CB">
        <w:t>ran</w:t>
      </w:r>
      <w:bookmarkEnd w:id="22"/>
    </w:p>
    <w:p w:rsidR="00C931E9" w:rsidRDefault="00C931E9" w:rsidP="00C931E9">
      <w:pPr>
        <w:jc w:val="both"/>
        <w:rPr>
          <w:rFonts w:ascii="Calibri" w:hAnsi="Calibri"/>
        </w:rPr>
      </w:pPr>
      <w:r>
        <w:rPr>
          <w:rFonts w:ascii="Calibri" w:hAnsi="Calibri"/>
        </w:rPr>
        <w:t>Dodávky uranu pro</w:t>
      </w:r>
      <w:r w:rsidR="00FB1947">
        <w:rPr>
          <w:rFonts w:ascii="Calibri" w:hAnsi="Calibri"/>
        </w:rPr>
        <w:t xml:space="preserve"> potřeby </w:t>
      </w:r>
      <w:r>
        <w:rPr>
          <w:rFonts w:ascii="Calibri" w:hAnsi="Calibri"/>
        </w:rPr>
        <w:t>jaderné energetiky ČR</w:t>
      </w:r>
      <w:r w:rsidR="00FB1947">
        <w:rPr>
          <w:rFonts w:ascii="Calibri" w:hAnsi="Calibri"/>
        </w:rPr>
        <w:t xml:space="preserve"> v souladu se SEK</w:t>
      </w:r>
      <w:r>
        <w:rPr>
          <w:rFonts w:ascii="Calibri" w:hAnsi="Calibri"/>
        </w:rPr>
        <w:t xml:space="preserve"> do roku 2100 by neměly představovat problém a jeho tržní zajištění je poměrně spolehlivé.</w:t>
      </w:r>
      <w:r w:rsidR="003C7873">
        <w:rPr>
          <w:rStyle w:val="Znakapoznpodarou"/>
          <w:rFonts w:ascii="Calibri" w:hAnsi="Calibri"/>
        </w:rPr>
        <w:footnoteReference w:id="10"/>
      </w:r>
    </w:p>
    <w:p w:rsidR="00C931E9" w:rsidRDefault="00C931E9" w:rsidP="00C931E9">
      <w:pPr>
        <w:jc w:val="both"/>
      </w:pPr>
      <w:r>
        <w:rPr>
          <w:rFonts w:ascii="Calibri" w:hAnsi="Calibri"/>
        </w:rPr>
        <w:t xml:space="preserve">Ve variantě s otevřeným palivovým cyklem se </w:t>
      </w:r>
      <w:r w:rsidRPr="000B2CCA">
        <w:rPr>
          <w:rFonts w:ascii="Calibri" w:hAnsi="Calibri"/>
        </w:rPr>
        <w:t xml:space="preserve">potřeba přírodního uranu ustálí po roce 2060 na úrovni </w:t>
      </w:r>
      <w:r w:rsidRPr="000B2CCA">
        <w:t xml:space="preserve">1 600 </w:t>
      </w:r>
      <w:proofErr w:type="spellStart"/>
      <w:r w:rsidRPr="000B2CCA">
        <w:t>tU</w:t>
      </w:r>
      <w:proofErr w:type="spellEnd"/>
      <w:r w:rsidRPr="000B2CCA">
        <w:t xml:space="preserve">/rok. Dlouhodobé zajištění přírodního uranu po roce </w:t>
      </w:r>
      <w:r w:rsidR="00B72CE6" w:rsidRPr="000B2CCA">
        <w:t xml:space="preserve">2100 </w:t>
      </w:r>
      <w:r w:rsidRPr="000B2CCA">
        <w:t>by pak záviselo na dostupnosti konvenčních zásob, v k</w:t>
      </w:r>
      <w:r w:rsidR="0002455E">
        <w:t>rajním případě je možno přejí</w:t>
      </w:r>
      <w:r w:rsidRPr="000B2CCA">
        <w:t>t na nekonvenční zásoby, případně těžbu z mořské vody. ČR by se měla podílet na výzkumu využití nekonvenčních zásob s cílem přístupu k jejich zásobám na výhodnější než tržní bázi.</w:t>
      </w:r>
    </w:p>
    <w:p w:rsidR="00C931E9" w:rsidRPr="000B2CCA" w:rsidRDefault="00C931E9" w:rsidP="00C931E9">
      <w:pPr>
        <w:jc w:val="both"/>
        <w:rPr>
          <w:rFonts w:ascii="Calibri" w:hAnsi="Calibri"/>
        </w:rPr>
      </w:pPr>
      <w:r>
        <w:t>Využití domácího uranu je třeba zvážit s ohledem na jeho potenciální přínos pro ekonomiku ČR. V</w:t>
      </w:r>
      <w:r w:rsidR="00D26E59">
        <w:t xml:space="preserve"> krajním a </w:t>
      </w:r>
      <w:r w:rsidR="00D26E59" w:rsidRPr="000B2CCA">
        <w:t xml:space="preserve">nepravděpodobném </w:t>
      </w:r>
      <w:r w:rsidRPr="000B2CCA">
        <w:t>případ</w:t>
      </w:r>
      <w:r w:rsidR="0002455E">
        <w:t>ě</w:t>
      </w:r>
      <w:r w:rsidRPr="000B2CCA">
        <w:t xml:space="preserve"> rozpadu </w:t>
      </w:r>
      <w:r w:rsidR="00D26E59" w:rsidRPr="000B2CCA">
        <w:t>globálního trhu s uranem</w:t>
      </w:r>
      <w:r w:rsidRPr="000B2CCA">
        <w:t xml:space="preserve"> lze přistoupit k využívání domácího uranu</w:t>
      </w:r>
      <w:r w:rsidR="00FC0073">
        <w:t xml:space="preserve">, </w:t>
      </w:r>
      <w:r w:rsidR="00FC0073" w:rsidRPr="00FC0073">
        <w:t>s využitím nejmodernějších technologií šetrných k životnímu prostředí</w:t>
      </w:r>
      <w:r w:rsidRPr="000B2CCA">
        <w:t>.</w:t>
      </w:r>
    </w:p>
    <w:p w:rsidR="00C931E9" w:rsidRPr="000B2CCA" w:rsidRDefault="00C931E9" w:rsidP="00C931E9">
      <w:pPr>
        <w:jc w:val="both"/>
        <w:rPr>
          <w:rFonts w:ascii="Calibri" w:hAnsi="Calibri"/>
        </w:rPr>
      </w:pPr>
      <w:r w:rsidRPr="000B2CCA">
        <w:rPr>
          <w:rFonts w:ascii="Calibri" w:hAnsi="Calibri"/>
        </w:rPr>
        <w:t xml:space="preserve">Ve variantách </w:t>
      </w:r>
      <w:r w:rsidR="00D26E59" w:rsidRPr="000B2CCA">
        <w:rPr>
          <w:rFonts w:ascii="Calibri" w:hAnsi="Calibri"/>
        </w:rPr>
        <w:t>s uzavřeným palivovým cyklem</w:t>
      </w:r>
      <w:r w:rsidRPr="000B2CCA">
        <w:rPr>
          <w:rFonts w:ascii="Calibri" w:hAnsi="Calibri"/>
        </w:rPr>
        <w:t xml:space="preserve"> se po zahájení záměny tlakovodních reaktorů rychlými </w:t>
      </w:r>
      <w:r w:rsidR="00B72CE6" w:rsidRPr="000B2CCA">
        <w:rPr>
          <w:rFonts w:ascii="Calibri" w:hAnsi="Calibri"/>
        </w:rPr>
        <w:t xml:space="preserve">reaktory </w:t>
      </w:r>
      <w:r w:rsidRPr="000B2CCA">
        <w:rPr>
          <w:rFonts w:ascii="Calibri" w:hAnsi="Calibri"/>
        </w:rPr>
        <w:t xml:space="preserve">postupně snižuje potřeba přírodního uranu. Po dokončení přechodu a dosažení rovnovážného palivového cyklu se potřeba </w:t>
      </w:r>
      <w:r w:rsidR="00D26E59" w:rsidRPr="000B2CCA">
        <w:rPr>
          <w:rFonts w:ascii="Calibri" w:hAnsi="Calibri"/>
        </w:rPr>
        <w:t>u</w:t>
      </w:r>
      <w:r w:rsidRPr="000B2CCA">
        <w:rPr>
          <w:rFonts w:ascii="Calibri" w:hAnsi="Calibri"/>
        </w:rPr>
        <w:t xml:space="preserve">ranu sníží na samotnou spotřebu (tedy rozštěpení) a klesne na úroveň 6 </w:t>
      </w:r>
      <w:proofErr w:type="spellStart"/>
      <w:r w:rsidRPr="000B2CCA">
        <w:rPr>
          <w:rFonts w:ascii="Calibri" w:hAnsi="Calibri"/>
        </w:rPr>
        <w:t>tU</w:t>
      </w:r>
      <w:proofErr w:type="spellEnd"/>
      <w:r w:rsidRPr="000B2CCA">
        <w:rPr>
          <w:rFonts w:ascii="Calibri" w:hAnsi="Calibri"/>
        </w:rPr>
        <w:t>/rok a k jejímu pokrytí postačí na velmi dlouhou dobu (tisíce let) uran ve vyhořelém palivu, případně i ochuzený uran. K realizaci této varianty je třeba se zapojit do spolupráce na vývoji rychlého reaktoru.</w:t>
      </w:r>
    </w:p>
    <w:p w:rsidR="00C931E9" w:rsidRPr="004975F1" w:rsidRDefault="00C931E9" w:rsidP="00286F78">
      <w:pPr>
        <w:pStyle w:val="Nadpis3"/>
      </w:pPr>
      <w:bookmarkStart w:id="23" w:name="_Toc420055991"/>
      <w:r w:rsidRPr="000B2CCA">
        <w:t>Konverze uranu na UF</w:t>
      </w:r>
      <w:r w:rsidRPr="000B2CCA">
        <w:rPr>
          <w:vertAlign w:val="subscript"/>
        </w:rPr>
        <w:t>6</w:t>
      </w:r>
      <w:bookmarkEnd w:id="23"/>
    </w:p>
    <w:p w:rsidR="00C931E9" w:rsidRDefault="00C931E9" w:rsidP="00C931E9">
      <w:pPr>
        <w:jc w:val="both"/>
        <w:rPr>
          <w:rFonts w:ascii="Calibri" w:hAnsi="Calibri"/>
        </w:rPr>
      </w:pPr>
      <w:r>
        <w:rPr>
          <w:rFonts w:ascii="Calibri" w:hAnsi="Calibri"/>
        </w:rPr>
        <w:t>Stejně jako v případě dodávek přírodního uranu, ani zajištění služeb konverze pro vizi rozvoje jaderné energetiky ČR do roku 2100 by neměly představovat problém a jeho tržní zajištění je poměrně spolehlivé.</w:t>
      </w:r>
    </w:p>
    <w:p w:rsidR="00C931E9" w:rsidRDefault="00C931E9" w:rsidP="00C931E9">
      <w:pPr>
        <w:jc w:val="both"/>
        <w:rPr>
          <w:rFonts w:ascii="Calibri" w:hAnsi="Calibri"/>
        </w:rPr>
      </w:pPr>
      <w:r>
        <w:rPr>
          <w:rFonts w:ascii="Calibri" w:hAnsi="Calibri"/>
        </w:rPr>
        <w:t xml:space="preserve">Potřeba konverzních služeb pro ČR na úrovni 1 500 </w:t>
      </w:r>
      <w:proofErr w:type="spellStart"/>
      <w:r>
        <w:rPr>
          <w:rFonts w:ascii="Calibri" w:hAnsi="Calibri"/>
        </w:rPr>
        <w:t>tU</w:t>
      </w:r>
      <w:proofErr w:type="spellEnd"/>
      <w:r>
        <w:rPr>
          <w:rFonts w:ascii="Calibri" w:hAnsi="Calibri"/>
        </w:rPr>
        <w:t xml:space="preserve">/rok je téměř řádově menší než velikost závodů poskytujících tyto služby (5 000 – 15 000 </w:t>
      </w:r>
      <w:proofErr w:type="spellStart"/>
      <w:r>
        <w:rPr>
          <w:rFonts w:ascii="Calibri" w:hAnsi="Calibri"/>
        </w:rPr>
        <w:t>tU</w:t>
      </w:r>
      <w:proofErr w:type="spellEnd"/>
      <w:r>
        <w:rPr>
          <w:rFonts w:ascii="Calibri" w:hAnsi="Calibri"/>
        </w:rPr>
        <w:t xml:space="preserve">/rok). V případě významného růstu instalovaného výkonu v regionu (zejména v Polsku a na Ukrajině) by bylo možno uvažovat o komerční jednotce, pokud by instalovaný výkon v regionu překročil cca 50 000 </w:t>
      </w:r>
      <w:proofErr w:type="spellStart"/>
      <w:r>
        <w:rPr>
          <w:rFonts w:ascii="Calibri" w:hAnsi="Calibri"/>
        </w:rPr>
        <w:t>MWe</w:t>
      </w:r>
      <w:proofErr w:type="spellEnd"/>
      <w:r>
        <w:rPr>
          <w:rFonts w:ascii="Calibri" w:hAnsi="Calibri"/>
        </w:rPr>
        <w:t>.</w:t>
      </w:r>
    </w:p>
    <w:p w:rsidR="00C931E9" w:rsidRPr="00AE75EA" w:rsidRDefault="00C931E9" w:rsidP="00286F78">
      <w:pPr>
        <w:pStyle w:val="Nadpis3"/>
        <w:rPr>
          <w:b w:val="0"/>
        </w:rPr>
      </w:pPr>
      <w:bookmarkStart w:id="24" w:name="_Toc420055992"/>
      <w:r w:rsidRPr="00AE75EA">
        <w:rPr>
          <w:rStyle w:val="Nadpis3Char"/>
          <w:b/>
        </w:rPr>
        <w:t>Separace (obohacování uranu</w:t>
      </w:r>
      <w:r w:rsidR="00AE75EA" w:rsidRPr="00AE75EA">
        <w:rPr>
          <w:b w:val="0"/>
        </w:rPr>
        <w:t>)</w:t>
      </w:r>
      <w:bookmarkEnd w:id="24"/>
    </w:p>
    <w:p w:rsidR="00C931E9" w:rsidRDefault="00C931E9" w:rsidP="00C931E9">
      <w:pPr>
        <w:jc w:val="both"/>
        <w:rPr>
          <w:rFonts w:ascii="Calibri" w:hAnsi="Calibri"/>
        </w:rPr>
      </w:pPr>
      <w:r>
        <w:rPr>
          <w:rFonts w:ascii="Calibri" w:hAnsi="Calibri"/>
        </w:rPr>
        <w:t xml:space="preserve">Zajištění separační práce pro vizi rozvoje jaderné energetiky ČR do roku 2100 by neměly představovat problém, s potřebou cca 800 </w:t>
      </w:r>
      <w:proofErr w:type="spellStart"/>
      <w:r>
        <w:rPr>
          <w:rFonts w:ascii="Calibri" w:hAnsi="Calibri"/>
        </w:rPr>
        <w:t>tSWU</w:t>
      </w:r>
      <w:proofErr w:type="spellEnd"/>
      <w:r>
        <w:rPr>
          <w:rFonts w:ascii="Calibri" w:hAnsi="Calibri"/>
        </w:rPr>
        <w:t xml:space="preserve">/rok, která je hluboce pod optimální velikostí 5 000 – 15 000 </w:t>
      </w:r>
      <w:proofErr w:type="spellStart"/>
      <w:r>
        <w:rPr>
          <w:rFonts w:ascii="Calibri" w:hAnsi="Calibri"/>
        </w:rPr>
        <w:t>tSWU</w:t>
      </w:r>
      <w:proofErr w:type="spellEnd"/>
      <w:r>
        <w:rPr>
          <w:rFonts w:ascii="Calibri" w:hAnsi="Calibri"/>
        </w:rPr>
        <w:t xml:space="preserve">/rok. </w:t>
      </w:r>
    </w:p>
    <w:p w:rsidR="00C931E9" w:rsidRDefault="00C931E9" w:rsidP="00C931E9">
      <w:pPr>
        <w:jc w:val="both"/>
      </w:pPr>
      <w:r>
        <w:rPr>
          <w:rFonts w:ascii="Calibri" w:hAnsi="Calibri"/>
        </w:rPr>
        <w:t xml:space="preserve">Z tohoto pohledu a v současné situaci na trhu </w:t>
      </w:r>
      <w:r w:rsidR="00720503">
        <w:rPr>
          <w:rFonts w:ascii="Calibri" w:hAnsi="Calibri"/>
        </w:rPr>
        <w:t xml:space="preserve">není vhodné </w:t>
      </w:r>
      <w:r>
        <w:rPr>
          <w:rFonts w:ascii="Calibri" w:hAnsi="Calibri"/>
        </w:rPr>
        <w:t>uvažovat ani o budování regionální kapacity.</w:t>
      </w:r>
    </w:p>
    <w:p w:rsidR="00C931E9" w:rsidRDefault="00C931E9" w:rsidP="00C931E9">
      <w:pPr>
        <w:jc w:val="both"/>
      </w:pPr>
      <w:r>
        <w:lastRenderedPageBreak/>
        <w:t xml:space="preserve">Na rozdíl od řady států provozujících reaktory VVER, kontrahujících komplexně dodávku paliva s ostatními službami přední </w:t>
      </w:r>
      <w:r w:rsidRPr="000B2CCA">
        <w:t>části palivového cyklu však ČR již nákup separačních služeb diverzifikoval</w:t>
      </w:r>
      <w:r w:rsidR="00D26E59" w:rsidRPr="000B2CCA">
        <w:t>a</w:t>
      </w:r>
      <w:r w:rsidRPr="000B2CCA">
        <w:t xml:space="preserve"> s příslušnými ekonomickými dopady</w:t>
      </w:r>
      <w:r w:rsidR="00CE3E3B" w:rsidRPr="000B2CCA">
        <w:t>.</w:t>
      </w:r>
      <w:r>
        <w:t xml:space="preserve"> </w:t>
      </w:r>
    </w:p>
    <w:p w:rsidR="00C931E9" w:rsidRPr="00292B23" w:rsidRDefault="00C931E9" w:rsidP="00286F78">
      <w:pPr>
        <w:pStyle w:val="Nadpis3"/>
      </w:pPr>
      <w:bookmarkStart w:id="25" w:name="_Toc420055993"/>
      <w:r w:rsidRPr="00292B23">
        <w:t>Fabrikace jaderného paliva</w:t>
      </w:r>
      <w:bookmarkEnd w:id="25"/>
    </w:p>
    <w:p w:rsidR="00C931E9" w:rsidRDefault="00C931E9" w:rsidP="00C931E9">
      <w:pPr>
        <w:jc w:val="both"/>
        <w:rPr>
          <w:rFonts w:ascii="Calibri" w:hAnsi="Calibri"/>
        </w:rPr>
      </w:pPr>
      <w:r>
        <w:rPr>
          <w:rFonts w:ascii="Calibri" w:hAnsi="Calibri"/>
        </w:rPr>
        <w:t>Palivo pro dnes provozované reaktory v ČR je dodáván</w:t>
      </w:r>
      <w:r w:rsidR="007F570D">
        <w:rPr>
          <w:rFonts w:ascii="Calibri" w:hAnsi="Calibri"/>
        </w:rPr>
        <w:t xml:space="preserve">o firmou TVEL, JE Temelín (VVER </w:t>
      </w:r>
      <w:r>
        <w:rPr>
          <w:rFonts w:ascii="Calibri" w:hAnsi="Calibri"/>
        </w:rPr>
        <w:t xml:space="preserve">1000) byla spuštěna s palivem </w:t>
      </w:r>
      <w:proofErr w:type="spellStart"/>
      <w:r>
        <w:rPr>
          <w:rFonts w:ascii="Calibri" w:hAnsi="Calibri"/>
        </w:rPr>
        <w:t>Westinghouse</w:t>
      </w:r>
      <w:proofErr w:type="spellEnd"/>
      <w:r>
        <w:rPr>
          <w:rFonts w:ascii="Calibri" w:hAnsi="Calibri"/>
        </w:rPr>
        <w:t>.</w:t>
      </w:r>
    </w:p>
    <w:p w:rsidR="00C931E9" w:rsidRPr="000B2CCA" w:rsidRDefault="00C931E9" w:rsidP="00286F78">
      <w:pPr>
        <w:pStyle w:val="Nadpis3"/>
      </w:pPr>
      <w:bookmarkStart w:id="26" w:name="_Toc420055994"/>
      <w:r w:rsidRPr="000B2CCA">
        <w:t>Mezisklad vyhořelého jaderného paliva</w:t>
      </w:r>
      <w:bookmarkEnd w:id="26"/>
    </w:p>
    <w:p w:rsidR="00C931E9" w:rsidRDefault="00C931E9" w:rsidP="00C931E9">
      <w:pPr>
        <w:jc w:val="both"/>
        <w:rPr>
          <w:rFonts w:ascii="Calibri" w:hAnsi="Calibri"/>
        </w:rPr>
      </w:pPr>
      <w:r w:rsidRPr="000B2CCA">
        <w:rPr>
          <w:rFonts w:ascii="Calibri" w:hAnsi="Calibri"/>
        </w:rPr>
        <w:t xml:space="preserve">Nedostatečná kapacita meziskladu jaderného paliva </w:t>
      </w:r>
      <w:r w:rsidR="00D26E59" w:rsidRPr="000B2CCA">
        <w:rPr>
          <w:rFonts w:ascii="Calibri" w:hAnsi="Calibri"/>
        </w:rPr>
        <w:t>by teoreticky mohla</w:t>
      </w:r>
      <w:r w:rsidRPr="000B2CCA">
        <w:rPr>
          <w:rFonts w:ascii="Calibri" w:hAnsi="Calibri"/>
        </w:rPr>
        <w:t xml:space="preserve"> způsobit dočasné zastavení provozu JE, </w:t>
      </w:r>
      <w:r w:rsidR="00D26E59" w:rsidRPr="000B2CCA">
        <w:rPr>
          <w:rFonts w:ascii="Calibri" w:hAnsi="Calibri"/>
        </w:rPr>
        <w:t>proto je klíčové provést včasné</w:t>
      </w:r>
      <w:r w:rsidRPr="000B2CCA">
        <w:rPr>
          <w:rFonts w:ascii="Calibri" w:hAnsi="Calibri"/>
        </w:rPr>
        <w:t xml:space="preserve"> rozšíření meziskladu, nebo</w:t>
      </w:r>
      <w:r w:rsidR="00D26E59" w:rsidRPr="000B2CCA">
        <w:rPr>
          <w:rFonts w:ascii="Calibri" w:hAnsi="Calibri"/>
        </w:rPr>
        <w:t xml:space="preserve"> v krajním případě realizovat</w:t>
      </w:r>
      <w:r w:rsidRPr="000B2CCA">
        <w:rPr>
          <w:rFonts w:ascii="Calibri" w:hAnsi="Calibri"/>
        </w:rPr>
        <w:t xml:space="preserve"> vynucený odvoz</w:t>
      </w:r>
      <w:r>
        <w:rPr>
          <w:rFonts w:ascii="Calibri" w:hAnsi="Calibri"/>
        </w:rPr>
        <w:t xml:space="preserve"> VJP na přepracování bez ohledu na ekonomické aspekty tohoto konání.</w:t>
      </w:r>
    </w:p>
    <w:p w:rsidR="00C931E9" w:rsidRPr="00275D31" w:rsidRDefault="00C931E9" w:rsidP="00286F78">
      <w:pPr>
        <w:pStyle w:val="Nadpis3"/>
      </w:pPr>
      <w:bookmarkStart w:id="27" w:name="_Toc420055995"/>
      <w:r w:rsidRPr="00275D31">
        <w:t>Transport vyhořelého jaderného paliva</w:t>
      </w:r>
      <w:bookmarkEnd w:id="27"/>
    </w:p>
    <w:p w:rsidR="00C931E9" w:rsidRDefault="00C931E9" w:rsidP="00C931E9">
      <w:pPr>
        <w:jc w:val="both"/>
        <w:rPr>
          <w:rFonts w:ascii="Calibri" w:hAnsi="Calibri"/>
        </w:rPr>
      </w:pPr>
      <w:r>
        <w:rPr>
          <w:rFonts w:ascii="Calibri" w:hAnsi="Calibri"/>
        </w:rPr>
        <w:t xml:space="preserve">Případné rané nasazení rychlých reaktorů </w:t>
      </w:r>
      <w:r w:rsidR="000D52D2">
        <w:rPr>
          <w:rFonts w:ascii="Calibri" w:hAnsi="Calibri"/>
        </w:rPr>
        <w:t xml:space="preserve">či paliva MOX (resp. pokročilých paliv s dalšími jadernými prvky než jen uran) </w:t>
      </w:r>
      <w:r>
        <w:rPr>
          <w:rFonts w:ascii="Calibri" w:hAnsi="Calibri"/>
        </w:rPr>
        <w:t>vyžaduje zajistit transport VJP do státu, ve kterém by bylo zajišťováno přepracování. V Evropě dnes připadají v úvahu (další se nedají očekávat) Francie, Rusko a Velká Británie.</w:t>
      </w:r>
    </w:p>
    <w:p w:rsidR="00C931E9" w:rsidRDefault="00C931E9" w:rsidP="00C931E9">
      <w:pPr>
        <w:jc w:val="both"/>
        <w:rPr>
          <w:rFonts w:ascii="Calibri" w:hAnsi="Calibri"/>
        </w:rPr>
      </w:pPr>
      <w:r>
        <w:rPr>
          <w:rFonts w:ascii="Calibri" w:hAnsi="Calibri"/>
        </w:rPr>
        <w:t>ČR si musí dlouhodobě zajistit tyto transportní cesty, přičemž, Rakousko a Německo jsou z tohoto pohledu rizikové. ČR by měla zajistit úzkou spolupráci s Polskem, SR, Běloruskem a Ukrajinou, aby měla zajištěnu spolehlivou transportní cestu pro vyhořelé palivo do státu vlastnících přepracovací kapacity.</w:t>
      </w:r>
    </w:p>
    <w:p w:rsidR="00C931E9" w:rsidRPr="00292B23" w:rsidRDefault="00C931E9" w:rsidP="00286F78">
      <w:pPr>
        <w:pStyle w:val="Nadpis3"/>
      </w:pPr>
      <w:bookmarkStart w:id="28" w:name="_Toc420055996"/>
      <w:r>
        <w:t>Přepracování jaderného paliva</w:t>
      </w:r>
      <w:bookmarkEnd w:id="28"/>
    </w:p>
    <w:p w:rsidR="00C931E9" w:rsidRDefault="00C931E9" w:rsidP="00C931E9">
      <w:pPr>
        <w:jc w:val="both"/>
      </w:pPr>
      <w:r>
        <w:t>Přepracování paliva tlakovodních reaktorů má smysl v případě otevřeného palivového cyklu pouze v případě nedostatku přírodního uranu, z tohoto hlediska je předčasné přepracování nežádoucí u NJZ je vhodné mít možnost recyklování MOX v případě potřeby.</w:t>
      </w:r>
    </w:p>
    <w:p w:rsidR="00C931E9" w:rsidRDefault="00C931E9" w:rsidP="00C931E9">
      <w:pPr>
        <w:jc w:val="both"/>
      </w:pPr>
      <w:r>
        <w:t>V případě uzavírání palivového cyklu s rychlými reaktory má smysl recyklování MOX paliva v </w:t>
      </w:r>
      <w:proofErr w:type="spellStart"/>
      <w:r>
        <w:t>lehkovodních</w:t>
      </w:r>
      <w:proofErr w:type="spellEnd"/>
      <w:r>
        <w:t xml:space="preserve"> reaktorech</w:t>
      </w:r>
      <w:r w:rsidR="005F39B0">
        <w:t>,</w:t>
      </w:r>
      <w:r>
        <w:t xml:space="preserve"> jen v případě hrozby nedostatku budou kapacity přepracován</w:t>
      </w:r>
      <w:r w:rsidR="005F39B0">
        <w:t>y</w:t>
      </w:r>
      <w:r>
        <w:t>.</w:t>
      </w:r>
    </w:p>
    <w:p w:rsidR="00C931E9" w:rsidRDefault="00C931E9" w:rsidP="00C931E9">
      <w:pPr>
        <w:jc w:val="both"/>
      </w:pPr>
      <w:r>
        <w:t>V obou případech je však třeba velmi vážit jak objem zasklených odpadů z přepracování, tak zda není na obzoru přepracování i se separací MA.</w:t>
      </w:r>
    </w:p>
    <w:p w:rsidR="00FE7E69" w:rsidRDefault="002B622F" w:rsidP="00FE7E69">
      <w:pPr>
        <w:pStyle w:val="Nadpis2"/>
      </w:pPr>
      <w:bookmarkStart w:id="29" w:name="_Toc407035547"/>
      <w:bookmarkStart w:id="30" w:name="_Toc420055997"/>
      <w:r w:rsidRPr="003A1870">
        <w:t>Dlouhodobá bezpečnost dodávek paliva</w:t>
      </w:r>
      <w:bookmarkEnd w:id="29"/>
      <w:bookmarkEnd w:id="30"/>
    </w:p>
    <w:p w:rsidR="002B622F" w:rsidRDefault="00FE7E69" w:rsidP="002B622F">
      <w:pPr>
        <w:jc w:val="both"/>
        <w:rPr>
          <w:rFonts w:eastAsia="Calibri"/>
        </w:rPr>
      </w:pPr>
      <w:r w:rsidRPr="00C42583">
        <w:rPr>
          <w:rFonts w:eastAsia="Times New Roman"/>
          <w:szCs w:val="24"/>
          <w:lang w:eastAsia="cs-CZ"/>
        </w:rPr>
        <w:t xml:space="preserve">S ohledem na dlouhodobou bezpečnost dodávek </w:t>
      </w:r>
      <w:r w:rsidR="00033C45" w:rsidRPr="00C42583">
        <w:rPr>
          <w:rFonts w:eastAsia="Times New Roman"/>
          <w:szCs w:val="24"/>
          <w:lang w:eastAsia="cs-CZ"/>
        </w:rPr>
        <w:t>je nutné akcentovat</w:t>
      </w:r>
      <w:r w:rsidR="00B05B2F" w:rsidRPr="00C42583">
        <w:rPr>
          <w:rFonts w:eastAsia="Times New Roman"/>
          <w:szCs w:val="24"/>
          <w:lang w:eastAsia="cs-CZ"/>
        </w:rPr>
        <w:t xml:space="preserve"> potřeb</w:t>
      </w:r>
      <w:r w:rsidR="00033C45" w:rsidRPr="00C42583">
        <w:rPr>
          <w:rFonts w:eastAsia="Times New Roman"/>
          <w:szCs w:val="24"/>
          <w:lang w:eastAsia="cs-CZ"/>
        </w:rPr>
        <w:t>u</w:t>
      </w:r>
      <w:r w:rsidR="00B05B2F" w:rsidRPr="00C42583">
        <w:rPr>
          <w:rFonts w:eastAsia="Times New Roman"/>
          <w:szCs w:val="24"/>
          <w:lang w:eastAsia="cs-CZ"/>
        </w:rPr>
        <w:t xml:space="preserve"> diverzifikace dodavatele jaderného paliva,</w:t>
      </w:r>
      <w:r w:rsidR="00033C45" w:rsidRPr="00C42583">
        <w:rPr>
          <w:rFonts w:eastAsia="Times New Roman"/>
          <w:szCs w:val="24"/>
          <w:lang w:eastAsia="cs-CZ"/>
        </w:rPr>
        <w:t xml:space="preserve"> a to</w:t>
      </w:r>
      <w:r w:rsidR="00B05B2F" w:rsidRPr="00C42583">
        <w:rPr>
          <w:rFonts w:eastAsia="Times New Roman"/>
          <w:szCs w:val="24"/>
          <w:lang w:eastAsia="cs-CZ"/>
        </w:rPr>
        <w:t xml:space="preserve"> v souladu s </w:t>
      </w:r>
      <w:r w:rsidR="00033C45" w:rsidRPr="00C42583">
        <w:rPr>
          <w:rFonts w:eastAsia="Times New Roman"/>
          <w:szCs w:val="24"/>
          <w:lang w:eastAsia="cs-CZ"/>
        </w:rPr>
        <w:t xml:space="preserve">deklarací z Korfu a v souladu s </w:t>
      </w:r>
      <w:proofErr w:type="spellStart"/>
      <w:r w:rsidR="00B05B2F" w:rsidRPr="00C42583">
        <w:rPr>
          <w:rFonts w:eastAsia="Times New Roman"/>
          <w:szCs w:val="24"/>
          <w:lang w:eastAsia="cs-CZ"/>
        </w:rPr>
        <w:t>energo</w:t>
      </w:r>
      <w:proofErr w:type="spellEnd"/>
      <w:r w:rsidR="00B05B2F" w:rsidRPr="00C42583">
        <w:rPr>
          <w:rFonts w:eastAsia="Times New Roman"/>
          <w:szCs w:val="24"/>
          <w:lang w:eastAsia="cs-CZ"/>
        </w:rPr>
        <w:t>-bezpečnostn</w:t>
      </w:r>
      <w:r w:rsidR="0056454D" w:rsidRPr="00C42583">
        <w:rPr>
          <w:rFonts w:eastAsia="Times New Roman"/>
          <w:szCs w:val="24"/>
          <w:lang w:eastAsia="cs-CZ"/>
        </w:rPr>
        <w:t>í strategií České republiky z roku</w:t>
      </w:r>
      <w:r w:rsidR="00B05B2F" w:rsidRPr="00C42583">
        <w:rPr>
          <w:rFonts w:eastAsia="Times New Roman"/>
          <w:szCs w:val="24"/>
          <w:lang w:eastAsia="cs-CZ"/>
        </w:rPr>
        <w:t xml:space="preserve"> 2014</w:t>
      </w:r>
      <w:r w:rsidR="00033C45" w:rsidRPr="00C42583">
        <w:rPr>
          <w:rFonts w:eastAsia="Times New Roman"/>
          <w:szCs w:val="24"/>
          <w:lang w:eastAsia="cs-CZ"/>
        </w:rPr>
        <w:t xml:space="preserve">. </w:t>
      </w:r>
      <w:r w:rsidR="0056454D" w:rsidRPr="00C42583">
        <w:rPr>
          <w:rFonts w:eastAsia="Times New Roman"/>
          <w:szCs w:val="24"/>
          <w:lang w:eastAsia="cs-CZ"/>
        </w:rPr>
        <w:t xml:space="preserve">Evropská komise se též zavázala, že bude klást zvýšený důraz na diverzifikaci dodávek paliva při posuzování nových investičních projektů. V tomto ohledu je nutné uvést, že stávající dovozní závislost na jednom dodavateli jaderného paliva může představovat riziko pro energetickou bezpečnost České republiky. </w:t>
      </w:r>
      <w:r w:rsidR="002B622F" w:rsidRPr="00EF13EA">
        <w:rPr>
          <w:rFonts w:eastAsia="Calibri"/>
        </w:rPr>
        <w:t xml:space="preserve">Pozornost zajištění dodávek jaderného paliva není samoúčelná a není jen reakcí na momentální politickou situaci na Ukrajině. Řeší se dlouhodobě a věnují se jí jak mezinárodní organizace – </w:t>
      </w:r>
      <w:r w:rsidR="00947E5E">
        <w:rPr>
          <w:rFonts w:eastAsia="Calibri"/>
        </w:rPr>
        <w:t>MAAE</w:t>
      </w:r>
      <w:r w:rsidR="002B622F" w:rsidRPr="00EF13EA">
        <w:rPr>
          <w:rFonts w:eastAsia="Calibri"/>
        </w:rPr>
        <w:t xml:space="preserve">, International </w:t>
      </w:r>
      <w:proofErr w:type="spellStart"/>
      <w:r w:rsidR="002B622F" w:rsidRPr="00EF13EA">
        <w:rPr>
          <w:rFonts w:eastAsia="Calibri"/>
        </w:rPr>
        <w:t>Energy</w:t>
      </w:r>
      <w:proofErr w:type="spellEnd"/>
      <w:r w:rsidR="002B622F" w:rsidRPr="00EF13EA">
        <w:rPr>
          <w:rFonts w:eastAsia="Calibri"/>
        </w:rPr>
        <w:t xml:space="preserve"> </w:t>
      </w:r>
      <w:proofErr w:type="spellStart"/>
      <w:r w:rsidR="002B622F" w:rsidRPr="00EF13EA">
        <w:rPr>
          <w:rFonts w:eastAsia="Calibri"/>
        </w:rPr>
        <w:t>Agency</w:t>
      </w:r>
      <w:proofErr w:type="spellEnd"/>
      <w:r w:rsidR="002B622F" w:rsidRPr="00EF13EA">
        <w:rPr>
          <w:rFonts w:eastAsia="Calibri"/>
        </w:rPr>
        <w:t xml:space="preserve"> (IEA), </w:t>
      </w:r>
      <w:r w:rsidR="002B622F">
        <w:rPr>
          <w:rFonts w:eastAsia="Calibri"/>
        </w:rPr>
        <w:t xml:space="preserve">NEA, tak i </w:t>
      </w:r>
      <w:r w:rsidR="002B622F" w:rsidRPr="00EF13EA">
        <w:rPr>
          <w:rFonts w:eastAsia="Calibri"/>
        </w:rPr>
        <w:lastRenderedPageBreak/>
        <w:t>samotná</w:t>
      </w:r>
      <w:r w:rsidR="002B622F">
        <w:rPr>
          <w:rFonts w:eastAsia="Calibri"/>
        </w:rPr>
        <w:t xml:space="preserve"> </w:t>
      </w:r>
      <w:r w:rsidR="002B622F" w:rsidRPr="00EF13EA">
        <w:rPr>
          <w:rFonts w:eastAsia="Calibri"/>
        </w:rPr>
        <w:t>EU, a též země, ve kterých je jaderná energetika důležitou součást</w:t>
      </w:r>
      <w:r w:rsidR="003F2E34">
        <w:rPr>
          <w:rFonts w:eastAsia="Calibri"/>
        </w:rPr>
        <w:t>í jejich energetické politiky.</w:t>
      </w:r>
    </w:p>
    <w:p w:rsidR="002B622F" w:rsidRDefault="002B622F" w:rsidP="002B622F">
      <w:pPr>
        <w:jc w:val="both"/>
        <w:rPr>
          <w:rFonts w:eastAsia="Calibri"/>
        </w:rPr>
      </w:pPr>
      <w:r w:rsidRPr="00EF13EA">
        <w:rPr>
          <w:rFonts w:eastAsia="Calibri"/>
        </w:rPr>
        <w:t xml:space="preserve">V evropské strategii energetické bezpečnosti z května 2014, která vznikla v reakci na krizi na Ukrajině, je konstatováno, že Komise bude soustavným způsobem zohledňovat otázku diverzifikace dodávek paliva při posuzování nových investičních projektů v oblasti jaderné energetiky a nových návrhů dohod či smluv </w:t>
      </w:r>
      <w:r>
        <w:rPr>
          <w:rFonts w:eastAsia="Calibri"/>
        </w:rPr>
        <w:t>s</w:t>
      </w:r>
      <w:r w:rsidRPr="00EF13EA">
        <w:rPr>
          <w:rFonts w:eastAsia="Calibri"/>
        </w:rPr>
        <w:t xml:space="preserve">e třetími zeměmi. </w:t>
      </w:r>
    </w:p>
    <w:p w:rsidR="002B622F" w:rsidRPr="00EF13EA" w:rsidRDefault="002B622F" w:rsidP="002B622F">
      <w:pPr>
        <w:jc w:val="both"/>
        <w:rPr>
          <w:rFonts w:eastAsia="Calibri"/>
        </w:rPr>
      </w:pPr>
      <w:r w:rsidRPr="000B2CCA">
        <w:rPr>
          <w:rFonts w:eastAsia="Calibri"/>
        </w:rPr>
        <w:t xml:space="preserve">Co se </w:t>
      </w:r>
      <w:proofErr w:type="gramStart"/>
      <w:r w:rsidR="00AF4CE1" w:rsidRPr="000B2CCA">
        <w:rPr>
          <w:rFonts w:eastAsia="Calibri"/>
        </w:rPr>
        <w:t>týká</w:t>
      </w:r>
      <w:proofErr w:type="gramEnd"/>
      <w:r w:rsidR="00AF4CE1" w:rsidRPr="000B2CCA">
        <w:rPr>
          <w:rFonts w:eastAsia="Calibri"/>
        </w:rPr>
        <w:t xml:space="preserve"> </w:t>
      </w:r>
      <w:r w:rsidRPr="000B2CCA">
        <w:rPr>
          <w:rFonts w:eastAsia="Calibri"/>
        </w:rPr>
        <w:t xml:space="preserve">možností pro bezpečné dlouhodobé zajištění dodávek paliva pro </w:t>
      </w:r>
      <w:proofErr w:type="gramStart"/>
      <w:r w:rsidRPr="000B2CCA">
        <w:rPr>
          <w:rFonts w:eastAsia="Calibri"/>
        </w:rPr>
        <w:t>JE</w:t>
      </w:r>
      <w:proofErr w:type="gramEnd"/>
      <w:r w:rsidRPr="000B2CCA">
        <w:rPr>
          <w:rFonts w:eastAsia="Calibri"/>
        </w:rPr>
        <w:t>, existují v podstatě následující varianty (</w:t>
      </w:r>
      <w:r w:rsidRPr="00EF13EA">
        <w:rPr>
          <w:rFonts w:eastAsia="Calibri"/>
        </w:rPr>
        <w:t xml:space="preserve">viz studie </w:t>
      </w:r>
      <w:proofErr w:type="spellStart"/>
      <w:r w:rsidR="00D9572B" w:rsidRPr="00D9572B">
        <w:rPr>
          <w:rFonts w:eastAsia="Calibri"/>
        </w:rPr>
        <w:t>Pacific</w:t>
      </w:r>
      <w:proofErr w:type="spellEnd"/>
      <w:r w:rsidR="00D9572B" w:rsidRPr="00D9572B">
        <w:rPr>
          <w:rFonts w:eastAsia="Calibri"/>
        </w:rPr>
        <w:t xml:space="preserve"> </w:t>
      </w:r>
      <w:proofErr w:type="spellStart"/>
      <w:r w:rsidR="00D9572B" w:rsidRPr="00D9572B">
        <w:rPr>
          <w:rFonts w:eastAsia="Calibri"/>
        </w:rPr>
        <w:t>Northwest</w:t>
      </w:r>
      <w:proofErr w:type="spellEnd"/>
      <w:r w:rsidR="00D9572B" w:rsidRPr="00D9572B">
        <w:rPr>
          <w:rFonts w:eastAsia="Calibri"/>
        </w:rPr>
        <w:t xml:space="preserve"> </w:t>
      </w:r>
      <w:proofErr w:type="spellStart"/>
      <w:r w:rsidR="00D9572B" w:rsidRPr="00D9572B">
        <w:rPr>
          <w:rFonts w:eastAsia="Calibri"/>
        </w:rPr>
        <w:t>National</w:t>
      </w:r>
      <w:proofErr w:type="spellEnd"/>
      <w:r w:rsidR="00D9572B" w:rsidRPr="00D9572B">
        <w:rPr>
          <w:rFonts w:eastAsia="Calibri"/>
        </w:rPr>
        <w:t xml:space="preserve"> </w:t>
      </w:r>
      <w:proofErr w:type="spellStart"/>
      <w:r w:rsidR="00D9572B" w:rsidRPr="00D9572B">
        <w:rPr>
          <w:rFonts w:eastAsia="Calibri"/>
        </w:rPr>
        <w:t>Laboratory</w:t>
      </w:r>
      <w:proofErr w:type="spellEnd"/>
      <w:r w:rsidR="00D9572B">
        <w:rPr>
          <w:rFonts w:eastAsia="Calibri"/>
        </w:rPr>
        <w:t xml:space="preserve"> </w:t>
      </w:r>
      <w:r w:rsidR="00D9572B" w:rsidRPr="003E3A57">
        <w:rPr>
          <w:rFonts w:cs="Arial"/>
        </w:rPr>
        <w:t>–</w:t>
      </w:r>
      <w:r w:rsidR="00D9572B">
        <w:rPr>
          <w:rFonts w:eastAsia="Calibri"/>
        </w:rPr>
        <w:t xml:space="preserve"> </w:t>
      </w:r>
      <w:r w:rsidRPr="00EF13EA">
        <w:rPr>
          <w:rFonts w:eastAsia="Calibri"/>
        </w:rPr>
        <w:t>PNNL</w:t>
      </w:r>
      <w:r w:rsidRPr="00EF13EA">
        <w:rPr>
          <w:rFonts w:eastAsia="Calibri"/>
          <w:vertAlign w:val="superscript"/>
        </w:rPr>
        <w:footnoteReference w:id="11"/>
      </w:r>
      <w:r w:rsidRPr="00EF13EA">
        <w:rPr>
          <w:rFonts w:eastAsia="Calibri"/>
        </w:rPr>
        <w:t>):</w:t>
      </w:r>
    </w:p>
    <w:p w:rsidR="002B622F" w:rsidRPr="00EF13EA" w:rsidRDefault="002B622F" w:rsidP="00286F78">
      <w:pPr>
        <w:spacing w:after="120"/>
        <w:ind w:left="709" w:hanging="425"/>
        <w:jc w:val="both"/>
        <w:rPr>
          <w:rFonts w:eastAsia="Calibri"/>
        </w:rPr>
      </w:pPr>
      <w:r w:rsidRPr="00EF13EA">
        <w:rPr>
          <w:rFonts w:eastAsia="Calibri"/>
        </w:rPr>
        <w:t>A.</w:t>
      </w:r>
      <w:r w:rsidRPr="00EF13EA">
        <w:rPr>
          <w:rFonts w:eastAsia="Calibri"/>
        </w:rPr>
        <w:tab/>
        <w:t>Reciproční dohoda dodavatelů o vzájemné dodávce určitého množství paliva</w:t>
      </w:r>
      <w:r w:rsidR="003F2E34">
        <w:rPr>
          <w:rFonts w:eastAsia="Calibri"/>
        </w:rPr>
        <w:t>.</w:t>
      </w:r>
    </w:p>
    <w:p w:rsidR="002B622F" w:rsidRPr="00EF13EA" w:rsidRDefault="002B622F" w:rsidP="00286F78">
      <w:pPr>
        <w:spacing w:after="120"/>
        <w:ind w:left="709" w:hanging="425"/>
        <w:jc w:val="both"/>
        <w:rPr>
          <w:rFonts w:eastAsia="Calibri"/>
        </w:rPr>
      </w:pPr>
      <w:r w:rsidRPr="00EF13EA">
        <w:rPr>
          <w:rFonts w:eastAsia="Calibri"/>
        </w:rPr>
        <w:t>B.</w:t>
      </w:r>
      <w:r w:rsidRPr="00EF13EA">
        <w:rPr>
          <w:rFonts w:eastAsia="Calibri"/>
        </w:rPr>
        <w:tab/>
        <w:t>Další specifická záložní výrobní kapacita</w:t>
      </w:r>
      <w:r>
        <w:rPr>
          <w:rFonts w:eastAsia="Calibri"/>
        </w:rPr>
        <w:t xml:space="preserve"> na jaderné palivo</w:t>
      </w:r>
      <w:r w:rsidR="003F2E34">
        <w:rPr>
          <w:rFonts w:eastAsia="Calibri"/>
        </w:rPr>
        <w:t>.</w:t>
      </w:r>
    </w:p>
    <w:p w:rsidR="002B622F" w:rsidRPr="00EF13EA" w:rsidRDefault="002B622F" w:rsidP="00286F78">
      <w:pPr>
        <w:spacing w:after="120"/>
        <w:ind w:left="709" w:hanging="425"/>
        <w:jc w:val="both"/>
        <w:rPr>
          <w:rFonts w:eastAsia="Calibri"/>
        </w:rPr>
      </w:pPr>
      <w:r w:rsidRPr="00EF13EA">
        <w:rPr>
          <w:rFonts w:eastAsia="Calibri"/>
        </w:rPr>
        <w:t>C.</w:t>
      </w:r>
      <w:r w:rsidRPr="00EF13EA">
        <w:rPr>
          <w:rFonts w:eastAsia="Calibri"/>
        </w:rPr>
        <w:tab/>
        <w:t>Vytvoření zásob jaderného paliva pro daný typ reaktorů</w:t>
      </w:r>
      <w:r w:rsidR="003F2E34">
        <w:rPr>
          <w:rFonts w:eastAsia="Calibri"/>
        </w:rPr>
        <w:t>.</w:t>
      </w:r>
    </w:p>
    <w:p w:rsidR="002B622F" w:rsidRPr="00EF13EA" w:rsidRDefault="002B622F" w:rsidP="00286F78">
      <w:pPr>
        <w:spacing w:after="120"/>
        <w:ind w:left="709" w:hanging="425"/>
        <w:jc w:val="both"/>
        <w:rPr>
          <w:rFonts w:eastAsia="Calibri"/>
        </w:rPr>
      </w:pPr>
      <w:r w:rsidRPr="00EF13EA">
        <w:rPr>
          <w:rFonts w:eastAsia="Calibri"/>
        </w:rPr>
        <w:t>D.</w:t>
      </w:r>
      <w:r w:rsidRPr="00EF13EA">
        <w:rPr>
          <w:rFonts w:eastAsia="Calibri"/>
        </w:rPr>
        <w:tab/>
        <w:t>Vytvoření zásob komponent pro palivo (palivové pro</w:t>
      </w:r>
      <w:r w:rsidR="006C7628">
        <w:rPr>
          <w:rFonts w:eastAsia="Calibri"/>
        </w:rPr>
        <w:t xml:space="preserve">utky a kazety), které mohou být </w:t>
      </w:r>
      <w:r w:rsidRPr="00EF13EA">
        <w:rPr>
          <w:rFonts w:eastAsia="Calibri"/>
        </w:rPr>
        <w:t>pro daný typ reaktorů ekonomicky skladovány.</w:t>
      </w:r>
    </w:p>
    <w:p w:rsidR="002B622F" w:rsidRPr="00EF13EA" w:rsidRDefault="002B622F" w:rsidP="002B622F">
      <w:pPr>
        <w:jc w:val="both"/>
        <w:rPr>
          <w:rFonts w:eastAsia="Calibri"/>
        </w:rPr>
      </w:pPr>
      <w:r>
        <w:rPr>
          <w:rFonts w:eastAsia="Calibri"/>
        </w:rPr>
        <w:t>Pro</w:t>
      </w:r>
      <w:r w:rsidRPr="00EF13EA">
        <w:rPr>
          <w:rFonts w:eastAsia="Calibri"/>
        </w:rPr>
        <w:t xml:space="preserve"> variant</w:t>
      </w:r>
      <w:r>
        <w:rPr>
          <w:rFonts w:eastAsia="Calibri"/>
        </w:rPr>
        <w:t>u</w:t>
      </w:r>
      <w:r w:rsidRPr="00EF13EA">
        <w:rPr>
          <w:rFonts w:eastAsia="Calibri"/>
        </w:rPr>
        <w:t xml:space="preserve"> B, tedy výstavb</w:t>
      </w:r>
      <w:r>
        <w:rPr>
          <w:rFonts w:eastAsia="Calibri"/>
        </w:rPr>
        <w:t>u</w:t>
      </w:r>
      <w:r w:rsidRPr="00EF13EA">
        <w:rPr>
          <w:rFonts w:eastAsia="Calibri"/>
        </w:rPr>
        <w:t xml:space="preserve"> závodu na výrobu jaderného paliva s kapacitou dostatečnou pro pokrytí trhu s palivem VVER (maximální kapacita ve třísměnném provozu 400 t HM/rok) dodávající na trh v normálních podmínkách cca 100 t HM/rok</w:t>
      </w:r>
      <w:r>
        <w:rPr>
          <w:rFonts w:eastAsia="Calibri"/>
        </w:rPr>
        <w:t>,</w:t>
      </w:r>
      <w:r w:rsidRPr="00EF13EA">
        <w:rPr>
          <w:rFonts w:eastAsia="Calibri"/>
        </w:rPr>
        <w:t xml:space="preserve"> je možné rozdělit </w:t>
      </w:r>
      <w:r>
        <w:rPr>
          <w:rFonts w:eastAsia="Calibri"/>
        </w:rPr>
        <w:t xml:space="preserve">výstavbu </w:t>
      </w:r>
      <w:r w:rsidRPr="00EF13EA">
        <w:rPr>
          <w:rFonts w:eastAsia="Calibri"/>
        </w:rPr>
        <w:t xml:space="preserve">na </w:t>
      </w:r>
      <w:r>
        <w:rPr>
          <w:rFonts w:eastAsia="Calibri"/>
        </w:rPr>
        <w:t xml:space="preserve">2 fáze - </w:t>
      </w:r>
      <w:r w:rsidRPr="00EF13EA">
        <w:rPr>
          <w:rFonts w:eastAsia="Calibri"/>
        </w:rPr>
        <w:t>fázi 1 (bez rekonverze z UF</w:t>
      </w:r>
      <w:r w:rsidRPr="00EF13EA">
        <w:rPr>
          <w:rFonts w:eastAsia="Calibri"/>
          <w:vertAlign w:val="subscript"/>
        </w:rPr>
        <w:t>6</w:t>
      </w:r>
      <w:r w:rsidRPr="00EF13EA">
        <w:rPr>
          <w:rFonts w:eastAsia="Calibri"/>
        </w:rPr>
        <w:t xml:space="preserve"> na práškový UO</w:t>
      </w:r>
      <w:r w:rsidRPr="00EF13EA">
        <w:rPr>
          <w:rFonts w:eastAsia="Calibri"/>
          <w:vertAlign w:val="subscript"/>
        </w:rPr>
        <w:t>2</w:t>
      </w:r>
      <w:r w:rsidRPr="00EF13EA">
        <w:rPr>
          <w:rFonts w:eastAsia="Calibri"/>
        </w:rPr>
        <w:t>, tj. vlastní výroby prášku) a na fázi 2 s vlastní výrobou práškového UO</w:t>
      </w:r>
      <w:r w:rsidRPr="00EF13EA">
        <w:rPr>
          <w:rFonts w:eastAsia="Calibri"/>
          <w:vertAlign w:val="subscript"/>
        </w:rPr>
        <w:t>2</w:t>
      </w:r>
      <w:r w:rsidRPr="00EF13EA">
        <w:rPr>
          <w:rFonts w:eastAsia="Calibri"/>
        </w:rPr>
        <w:t>, která nemusí nastat.</w:t>
      </w:r>
      <w:r>
        <w:rPr>
          <w:rFonts w:eastAsia="Calibri"/>
        </w:rPr>
        <w:t xml:space="preserve"> </w:t>
      </w:r>
      <w:r w:rsidRPr="00EF13EA">
        <w:rPr>
          <w:rFonts w:eastAsia="Calibri"/>
        </w:rPr>
        <w:t>Investorem takové stavby by mohl být soukromý podnikatelský subjekt</w:t>
      </w:r>
      <w:r>
        <w:rPr>
          <w:rFonts w:eastAsia="Calibri"/>
        </w:rPr>
        <w:t xml:space="preserve"> financovaný z rozpočtu státu</w:t>
      </w:r>
      <w:r w:rsidRPr="00EF13EA">
        <w:rPr>
          <w:rFonts w:eastAsia="Calibri"/>
        </w:rPr>
        <w:t>.</w:t>
      </w:r>
      <w:r>
        <w:rPr>
          <w:rFonts w:eastAsia="Calibri"/>
        </w:rPr>
        <w:t xml:space="preserve"> Tato varianta musí být dále analyzována</w:t>
      </w:r>
      <w:r w:rsidRPr="00EF13EA">
        <w:rPr>
          <w:rFonts w:eastAsia="Calibri"/>
        </w:rPr>
        <w:t>.</w:t>
      </w:r>
    </w:p>
    <w:p w:rsidR="002B622F" w:rsidRPr="00EF13EA" w:rsidRDefault="002B622F" w:rsidP="00116187">
      <w:pPr>
        <w:jc w:val="both"/>
        <w:rPr>
          <w:rFonts w:eastAsia="Calibri"/>
        </w:rPr>
      </w:pPr>
      <w:r w:rsidRPr="00EF13EA">
        <w:rPr>
          <w:rFonts w:eastAsia="Calibri"/>
        </w:rPr>
        <w:t xml:space="preserve">Reciproční dohoda dodavatelů o vzájemné dodávce určitého množství paliva (alternativa A) jde </w:t>
      </w:r>
      <w:r>
        <w:rPr>
          <w:rFonts w:eastAsia="Calibri"/>
        </w:rPr>
        <w:t xml:space="preserve">z pohledu státu </w:t>
      </w:r>
      <w:r w:rsidRPr="00EF13EA">
        <w:rPr>
          <w:rFonts w:eastAsia="Calibri"/>
        </w:rPr>
        <w:t xml:space="preserve">za rámec možných opatření (je na rozhodnutí samotných výrobců). </w:t>
      </w:r>
      <w:r w:rsidR="00C80599">
        <w:rPr>
          <w:rFonts w:eastAsia="Calibri"/>
        </w:rPr>
        <w:t xml:space="preserve">Varianta B, tedy výstavba fabrikačního závodu je velmi ekonomicky náročná a spojená s řadou rizik v rámci povolovacích procesů. </w:t>
      </w:r>
      <w:r w:rsidRPr="00EF13EA">
        <w:rPr>
          <w:rFonts w:eastAsia="Calibri"/>
        </w:rPr>
        <w:t>Vytvoření zásob jaderného paliva pro daný typ reaktorů (alternativa C) je dnes víceméně používanou alternativou (má své ekonomické náklady i další negativní dopady na provozovatele), která však n</w:t>
      </w:r>
      <w:r>
        <w:rPr>
          <w:rFonts w:eastAsia="Calibri"/>
        </w:rPr>
        <w:t xml:space="preserve">ezajišťuje dlouhodobý výpadek a </w:t>
      </w:r>
      <w:r w:rsidRPr="00EF13EA">
        <w:rPr>
          <w:rFonts w:eastAsia="Calibri"/>
        </w:rPr>
        <w:t>v případě krize vyžaduje okamžitě začít s přípravou a licencováním alternativního paliva. Alternativa D je redukovanější verzí závodu na výrobu jaderného paliva.</w:t>
      </w:r>
    </w:p>
    <w:p w:rsidR="00F55B18" w:rsidRPr="00E21156" w:rsidRDefault="00045C30" w:rsidP="00E21156">
      <w:pPr>
        <w:pStyle w:val="Nadpis2"/>
      </w:pPr>
      <w:bookmarkStart w:id="31" w:name="_Toc407035548"/>
      <w:bookmarkStart w:id="32" w:name="_Toc420055998"/>
      <w:r>
        <w:t>Dlouhodobé ř</w:t>
      </w:r>
      <w:r w:rsidR="00961B82" w:rsidRPr="00E21156">
        <w:t>ešení zadního konce palivového cyklu</w:t>
      </w:r>
      <w:r w:rsidR="001D4370" w:rsidRPr="00E21156">
        <w:t xml:space="preserve"> </w:t>
      </w:r>
      <w:r w:rsidR="00733886" w:rsidRPr="00E21156">
        <w:t>a nakládání s RAO</w:t>
      </w:r>
      <w:bookmarkEnd w:id="31"/>
      <w:bookmarkEnd w:id="32"/>
      <w:r w:rsidR="00733886" w:rsidRPr="00E21156">
        <w:t xml:space="preserve"> </w:t>
      </w:r>
    </w:p>
    <w:p w:rsidR="00207325" w:rsidRPr="00AE2E6B" w:rsidRDefault="00207325" w:rsidP="00AE2E6B">
      <w:pPr>
        <w:jc w:val="both"/>
      </w:pPr>
      <w:r w:rsidRPr="00AE2E6B">
        <w:t xml:space="preserve">Mezinárodní společenství prostřednictvím MAAE vytvořilo všeobecně platné principy pro bezpečné využívání jaderné energie a ionizujícího záření, které se vztahují i na oblast nakládání s RAO. Základní principy jsou využitelné pro všechny země a všechny typy RAO a VJP, nehledě na jejich fyzikální nebo chemické charakteristiky či na jejich původ. Česká republika jako členská země MAAE </w:t>
      </w:r>
      <w:r w:rsidR="00520416" w:rsidRPr="00AE2E6B">
        <w:t>bude</w:t>
      </w:r>
      <w:r w:rsidRPr="00AE2E6B">
        <w:t xml:space="preserve"> nakládat s RAO a VJP v souladu s následujícími principy:</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Odpovědnost za bezpečnost:</w:t>
      </w:r>
      <w:r w:rsidRPr="00207325">
        <w:rPr>
          <w:rFonts w:asciiTheme="minorHAnsi" w:hAnsiTheme="minorHAnsi" w:cs="Arial"/>
        </w:rPr>
        <w:t xml:space="preserve"> Primární odpovědnost za bezpečnost má osoba nebo organizace, která odpovídá za zařízení nebo činnosti s radiačními riziky.</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lastRenderedPageBreak/>
        <w:t>Úloha vlády:</w:t>
      </w:r>
      <w:r w:rsidRPr="00207325">
        <w:rPr>
          <w:rFonts w:asciiTheme="minorHAnsi" w:hAnsiTheme="minorHAnsi" w:cs="Arial"/>
        </w:rPr>
        <w:t xml:space="preserve"> Musí být ustanoven a udržován efektivní právní a vládní rámec zajišťující bezpečnost, včetně nezávislého státního dozoru.</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Řízení a zajištění bezpečnosti:</w:t>
      </w:r>
      <w:r w:rsidRPr="00207325">
        <w:rPr>
          <w:rFonts w:asciiTheme="minorHAnsi" w:hAnsiTheme="minorHAnsi" w:cs="Arial"/>
        </w:rPr>
        <w:t xml:space="preserve"> Efektivní řízení a zajištění bezpečnosti musí být zavedeno a udržováno v organizacích, které mají vztah k zařízením a činnostem, které představují radiační rizika.</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Zdůvodnění zařízení a činností:</w:t>
      </w:r>
      <w:r w:rsidRPr="00207325">
        <w:rPr>
          <w:rFonts w:asciiTheme="minorHAnsi" w:hAnsiTheme="minorHAnsi" w:cs="Arial"/>
        </w:rPr>
        <w:t xml:space="preserve"> Zařízení a činnosti s radiačními riziky musí přinášet celkový prospěch.</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Optimalizace ochrany:</w:t>
      </w:r>
      <w:r w:rsidRPr="00207325">
        <w:rPr>
          <w:rFonts w:asciiTheme="minorHAnsi" w:hAnsiTheme="minorHAnsi" w:cs="Arial"/>
        </w:rPr>
        <w:t xml:space="preserve"> Ochrana musí být optimalizována k zajištění nejvyšší úrovně bezpečnosti, která může být rozumným způsobem dosažena.</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Omezení rizika jednotlivců:</w:t>
      </w:r>
      <w:r w:rsidRPr="00207325">
        <w:rPr>
          <w:rFonts w:asciiTheme="minorHAnsi" w:hAnsiTheme="minorHAnsi" w:cs="Arial"/>
        </w:rPr>
        <w:t xml:space="preserve"> Opatření pro kontrolu radiačního rizika musí zajistit, že žádný jednotlivec neponese neakceptovatelné riziko újmy.</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Ochrana současné generace i generací budoucích:</w:t>
      </w:r>
      <w:r w:rsidRPr="00207325">
        <w:rPr>
          <w:rFonts w:asciiTheme="minorHAnsi" w:hAnsiTheme="minorHAnsi" w:cs="Arial"/>
        </w:rPr>
        <w:t xml:space="preserve"> Lidé a životní prostředí musí být chráněni před radiačními riziky nyní i v budoucnu.</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Předcházení nehodám:</w:t>
      </w:r>
      <w:r w:rsidRPr="00207325">
        <w:rPr>
          <w:rFonts w:asciiTheme="minorHAnsi" w:hAnsiTheme="minorHAnsi" w:cs="Arial"/>
        </w:rPr>
        <w:t xml:space="preserve"> Musí být prováděna veškerá praktická opatření pro předcházení jaderným nebo radiačním nehodám.</w:t>
      </w:r>
    </w:p>
    <w:p w:rsidR="00207325" w:rsidRPr="00207325"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Havarijní připravenost:</w:t>
      </w:r>
      <w:r w:rsidRPr="00207325">
        <w:rPr>
          <w:rFonts w:asciiTheme="minorHAnsi" w:hAnsiTheme="minorHAnsi" w:cs="Arial"/>
        </w:rPr>
        <w:t xml:space="preserve"> Pro případ jaderné nebo radiační nehody musí být zajištěna havarijní připravenost.</w:t>
      </w:r>
    </w:p>
    <w:p w:rsidR="00207325" w:rsidRPr="00520416" w:rsidRDefault="00207325" w:rsidP="0044189F">
      <w:pPr>
        <w:pStyle w:val="Odstavecseseznamem1"/>
        <w:numPr>
          <w:ilvl w:val="0"/>
          <w:numId w:val="26"/>
        </w:numPr>
        <w:spacing w:after="120"/>
        <w:ind w:left="714" w:hanging="357"/>
        <w:jc w:val="both"/>
        <w:rPr>
          <w:rFonts w:asciiTheme="minorHAnsi" w:hAnsiTheme="minorHAnsi" w:cs="Arial"/>
        </w:rPr>
      </w:pPr>
      <w:r w:rsidRPr="00207325">
        <w:rPr>
          <w:rFonts w:asciiTheme="minorHAnsi" w:hAnsiTheme="minorHAnsi" w:cs="Arial"/>
          <w:b/>
        </w:rPr>
        <w:t>Ochranná opatření k omezení existujících nebo neregulovaných radiačních rizik:</w:t>
      </w:r>
      <w:r w:rsidRPr="00207325">
        <w:rPr>
          <w:rFonts w:asciiTheme="minorHAnsi" w:hAnsiTheme="minorHAnsi" w:cs="Arial"/>
        </w:rPr>
        <w:t xml:space="preserve"> Ochranná opatření k omezení existujících nebo neregulovaných radiačních rizik musí být zdůvodněná a optimalizovaná.</w:t>
      </w:r>
    </w:p>
    <w:p w:rsidR="00207325" w:rsidRPr="00207325" w:rsidRDefault="00207325" w:rsidP="00C42583">
      <w:r w:rsidRPr="00207325">
        <w:t>Další související opatření zahrnují:</w:t>
      </w:r>
    </w:p>
    <w:p w:rsidR="00207325" w:rsidRPr="00207325" w:rsidRDefault="00207325" w:rsidP="0044189F">
      <w:pPr>
        <w:pStyle w:val="Odstavecseseznamem1"/>
        <w:numPr>
          <w:ilvl w:val="0"/>
          <w:numId w:val="27"/>
        </w:numPr>
        <w:spacing w:after="0"/>
        <w:jc w:val="both"/>
        <w:rPr>
          <w:rFonts w:asciiTheme="minorHAnsi" w:hAnsiTheme="minorHAnsi" w:cs="Arial"/>
        </w:rPr>
      </w:pPr>
      <w:r w:rsidRPr="00207325">
        <w:rPr>
          <w:rFonts w:asciiTheme="minorHAnsi" w:hAnsiTheme="minorHAnsi" w:cs="Arial"/>
          <w:b/>
        </w:rPr>
        <w:t>Účast veřejnosti při rozhodování:</w:t>
      </w:r>
      <w:r w:rsidRPr="00207325">
        <w:rPr>
          <w:rFonts w:asciiTheme="minorHAnsi" w:hAnsiTheme="minorHAnsi" w:cs="Arial"/>
        </w:rPr>
        <w:t xml:space="preserve"> Rozhodnutí, která mohou mít potenciální vliv na zdraví, společnost nebo životní prostředí, by měla být prováděna s těmi, kterých se dotýkají.</w:t>
      </w:r>
    </w:p>
    <w:p w:rsidR="00207325" w:rsidRPr="00207325" w:rsidRDefault="00207325" w:rsidP="0044189F">
      <w:pPr>
        <w:pStyle w:val="Odstavecseseznamem1"/>
        <w:numPr>
          <w:ilvl w:val="0"/>
          <w:numId w:val="27"/>
        </w:numPr>
        <w:ind w:left="714" w:hanging="357"/>
        <w:contextualSpacing w:val="0"/>
        <w:jc w:val="both"/>
        <w:rPr>
          <w:rFonts w:asciiTheme="minorHAnsi" w:hAnsiTheme="minorHAnsi" w:cs="Arial"/>
        </w:rPr>
      </w:pPr>
      <w:r w:rsidRPr="00207325">
        <w:rPr>
          <w:rFonts w:asciiTheme="minorHAnsi" w:hAnsiTheme="minorHAnsi" w:cs="Arial"/>
          <w:b/>
        </w:rPr>
        <w:t>Udržitelný rozvoj:</w:t>
      </w:r>
      <w:r w:rsidRPr="00207325">
        <w:rPr>
          <w:rFonts w:asciiTheme="minorHAnsi" w:hAnsiTheme="minorHAnsi" w:cs="Arial"/>
        </w:rPr>
        <w:t xml:space="preserve"> Vzhledem k dlouhému času, po který musí být s radioaktivním odpadem bezpečně nakládáno, je nutné brát v úvahu aspekty udržitelnosti. Mělo by být tedy zajištěno, aby potřeby současné generace byly naplňovány, ale neomezovaly se možnosti budoucích generací naplňovat jejich potřeby.</w:t>
      </w:r>
    </w:p>
    <w:p w:rsidR="00520416" w:rsidRPr="00520416" w:rsidRDefault="00520416" w:rsidP="00AE2E6B">
      <w:pPr>
        <w:jc w:val="both"/>
        <w:rPr>
          <w:rFonts w:cs="Arial"/>
        </w:rPr>
      </w:pPr>
      <w:r w:rsidRPr="00520416">
        <w:rPr>
          <w:rFonts w:cs="Arial"/>
        </w:rPr>
        <w:t xml:space="preserve">Radioaktivní odpady jsou </w:t>
      </w:r>
      <w:r w:rsidRPr="00520416">
        <w:rPr>
          <w:rStyle w:val="StylAlbizkladnAsieMSMinchoChar"/>
          <w:rFonts w:asciiTheme="minorHAnsi" w:hAnsiTheme="minorHAnsi" w:cs="Arial"/>
          <w:sz w:val="22"/>
          <w:szCs w:val="22"/>
        </w:rPr>
        <w:t xml:space="preserve">definovány jako </w:t>
      </w:r>
      <w:r w:rsidRPr="00520416">
        <w:rPr>
          <w:rFonts w:eastAsia="MS Mincho" w:cs="Arial"/>
        </w:rPr>
        <w:t>„</w:t>
      </w:r>
      <w:r w:rsidRPr="00520416">
        <w:rPr>
          <w:rFonts w:cs="Arial"/>
        </w:rPr>
        <w:t xml:space="preserve">látky, předměty nebo zařízení obsahující radionuklidy nebo jimi kontaminované, pro něž se nepředpokládá další využití“. RAO </w:t>
      </w:r>
      <w:r>
        <w:rPr>
          <w:rFonts w:cs="Arial"/>
        </w:rPr>
        <w:t xml:space="preserve">se </w:t>
      </w:r>
      <w:r w:rsidR="005A4BF6">
        <w:rPr>
          <w:rFonts w:cs="Arial"/>
        </w:rPr>
        <w:t>dělí</w:t>
      </w:r>
      <w:r w:rsidRPr="00520416">
        <w:rPr>
          <w:rFonts w:cs="Arial"/>
        </w:rPr>
        <w:t xml:space="preserve"> na plynné, kapalné a pevné. Pevné RAO se rozdělují do tří základních kategorií, a to na přechodné, nízko a středně a vysokoaktivní:</w:t>
      </w:r>
    </w:p>
    <w:p w:rsidR="00520416" w:rsidRPr="00520416" w:rsidRDefault="00520416" w:rsidP="0044189F">
      <w:pPr>
        <w:pStyle w:val="Albizkladn"/>
        <w:numPr>
          <w:ilvl w:val="0"/>
          <w:numId w:val="28"/>
        </w:numPr>
        <w:tabs>
          <w:tab w:val="clear" w:pos="360"/>
        </w:tabs>
        <w:spacing w:before="0" w:after="0" w:line="276" w:lineRule="auto"/>
        <w:ind w:left="709"/>
        <w:rPr>
          <w:rFonts w:asciiTheme="minorHAnsi" w:hAnsiTheme="minorHAnsi" w:cs="Arial"/>
          <w:sz w:val="22"/>
          <w:szCs w:val="22"/>
        </w:rPr>
      </w:pPr>
      <w:r w:rsidRPr="00520416">
        <w:rPr>
          <w:rFonts w:asciiTheme="minorHAnsi" w:hAnsiTheme="minorHAnsi" w:cs="Arial"/>
          <w:sz w:val="22"/>
          <w:szCs w:val="22"/>
        </w:rPr>
        <w:t>přechodné RAO jsou takové odpady, které po dlouhodobém skladování (maximálně 5 let) vykazují radioaktivitu nižší, než jsou uvolňovací úrovně;</w:t>
      </w:r>
    </w:p>
    <w:p w:rsidR="00520416" w:rsidRPr="00520416" w:rsidRDefault="00520416" w:rsidP="0044189F">
      <w:pPr>
        <w:pStyle w:val="Albizkladn"/>
        <w:numPr>
          <w:ilvl w:val="0"/>
          <w:numId w:val="28"/>
        </w:numPr>
        <w:tabs>
          <w:tab w:val="clear" w:pos="360"/>
        </w:tabs>
        <w:spacing w:before="0" w:after="0" w:line="276" w:lineRule="auto"/>
        <w:ind w:left="709"/>
        <w:rPr>
          <w:rFonts w:asciiTheme="minorHAnsi" w:hAnsiTheme="minorHAnsi" w:cs="Arial"/>
          <w:sz w:val="22"/>
          <w:szCs w:val="22"/>
        </w:rPr>
      </w:pPr>
      <w:r w:rsidRPr="00520416">
        <w:rPr>
          <w:rFonts w:asciiTheme="minorHAnsi" w:hAnsiTheme="minorHAnsi" w:cs="Arial"/>
          <w:sz w:val="22"/>
          <w:szCs w:val="22"/>
        </w:rPr>
        <w:t xml:space="preserve">nízko a středněaktivní RAO se dělí na dvě podskupiny, a to na krátkodobé, u nichž poločas obsažených radionuklidů je menší než 30 let (včetně </w:t>
      </w:r>
      <w:r w:rsidRPr="00520416">
        <w:rPr>
          <w:rFonts w:asciiTheme="minorHAnsi" w:hAnsiTheme="minorHAnsi" w:cs="Arial"/>
          <w:sz w:val="22"/>
          <w:szCs w:val="22"/>
          <w:vertAlign w:val="superscript"/>
        </w:rPr>
        <w:t>137</w:t>
      </w:r>
      <w:r w:rsidRPr="00520416">
        <w:rPr>
          <w:rFonts w:asciiTheme="minorHAnsi" w:hAnsiTheme="minorHAnsi" w:cs="Arial"/>
          <w:sz w:val="22"/>
          <w:szCs w:val="22"/>
        </w:rPr>
        <w:t>Cs) a na dlouhodobé odpady, kterými jsou ty odpady, které nepatří do podskupiny krátkodobých RAO;</w:t>
      </w:r>
    </w:p>
    <w:p w:rsidR="00520416" w:rsidRPr="00520416" w:rsidRDefault="00520416" w:rsidP="0044189F">
      <w:pPr>
        <w:pStyle w:val="Albizkladn"/>
        <w:numPr>
          <w:ilvl w:val="0"/>
          <w:numId w:val="28"/>
        </w:numPr>
        <w:tabs>
          <w:tab w:val="clear" w:pos="360"/>
        </w:tabs>
        <w:spacing w:before="0" w:after="200" w:line="276" w:lineRule="auto"/>
        <w:ind w:left="709" w:hanging="357"/>
        <w:rPr>
          <w:rFonts w:asciiTheme="minorHAnsi" w:hAnsiTheme="minorHAnsi" w:cs="Arial"/>
          <w:sz w:val="22"/>
          <w:szCs w:val="22"/>
        </w:rPr>
      </w:pPr>
      <w:r w:rsidRPr="00520416">
        <w:rPr>
          <w:rFonts w:asciiTheme="minorHAnsi" w:hAnsiTheme="minorHAnsi" w:cs="Arial"/>
          <w:sz w:val="22"/>
          <w:szCs w:val="22"/>
        </w:rPr>
        <w:t>vysokoaktivní jsou odpady, u kterých musí být při jejich skladování a ukládání zohledněno uvolňování tepla z rozpadu radionuklidů v nich obsažených.</w:t>
      </w:r>
    </w:p>
    <w:p w:rsidR="00520416" w:rsidRPr="00520416" w:rsidRDefault="00865724" w:rsidP="00AE2E6B">
      <w:pPr>
        <w:jc w:val="both"/>
        <w:rPr>
          <w:rFonts w:cs="Arial"/>
        </w:rPr>
      </w:pPr>
      <w:r>
        <w:rPr>
          <w:rFonts w:cs="Arial"/>
        </w:rPr>
        <w:t>Použité j</w:t>
      </w:r>
      <w:r w:rsidR="00520416">
        <w:rPr>
          <w:rFonts w:cs="Arial"/>
        </w:rPr>
        <w:t xml:space="preserve">aderné </w:t>
      </w:r>
      <w:r w:rsidR="005A4BF6">
        <w:rPr>
          <w:rFonts w:cs="Arial"/>
        </w:rPr>
        <w:t>p</w:t>
      </w:r>
      <w:r w:rsidR="00520416">
        <w:rPr>
          <w:rFonts w:cs="Arial"/>
        </w:rPr>
        <w:t xml:space="preserve">alivo z jaderných elektráren </w:t>
      </w:r>
      <w:r w:rsidR="00520416" w:rsidRPr="00520416">
        <w:rPr>
          <w:rFonts w:cs="Arial"/>
        </w:rPr>
        <w:t xml:space="preserve">není radioaktivním odpadem. Do doby, než ho jeho původce nebo SÚJB prohlásí za radioaktivní odpad, je povinen nakládat s ním jeho původce tak, aby nebyla ztížena možnost jeho další úpravy. </w:t>
      </w:r>
      <w:r w:rsidR="003E3A57">
        <w:rPr>
          <w:rFonts w:cs="Arial"/>
        </w:rPr>
        <w:t>VJP v sobě obsahuje</w:t>
      </w:r>
      <w:r w:rsidR="00AE2E6B">
        <w:rPr>
          <w:rFonts w:cs="Arial"/>
        </w:rPr>
        <w:t xml:space="preserve"> přes 90</w:t>
      </w:r>
      <w:r>
        <w:rPr>
          <w:rFonts w:cs="Arial"/>
        </w:rPr>
        <w:t xml:space="preserve"> </w:t>
      </w:r>
      <w:r w:rsidR="00AE2E6B">
        <w:rPr>
          <w:rFonts w:cs="Arial"/>
        </w:rPr>
        <w:t xml:space="preserve">% </w:t>
      </w:r>
      <w:r w:rsidR="003E3A57">
        <w:rPr>
          <w:rFonts w:cs="Arial"/>
        </w:rPr>
        <w:t>objemového množství materiálu, který může být po zpracování dále využit pro výrobu energie v reaktorech vyšší generace.</w:t>
      </w:r>
    </w:p>
    <w:p w:rsidR="00520416" w:rsidRPr="00520416" w:rsidRDefault="00520416" w:rsidP="00AE2E6B">
      <w:pPr>
        <w:jc w:val="both"/>
        <w:rPr>
          <w:rFonts w:cs="Arial"/>
        </w:rPr>
      </w:pPr>
      <w:r w:rsidRPr="00520416">
        <w:rPr>
          <w:rFonts w:cs="Arial"/>
        </w:rPr>
        <w:lastRenderedPageBreak/>
        <w:t>Zodpovědnost za bezpečné nakládání s RAO a VJP je v ČR rozdělena mezi původce, kteří zajišťují jeho shromažďování, třídění, zpracování, skladování a přepravu, a stát, který ručí za bezpečné uložení odpadů</w:t>
      </w:r>
      <w:r w:rsidRPr="002E4520">
        <w:rPr>
          <w:rFonts w:cs="Arial"/>
        </w:rPr>
        <w:t>;</w:t>
      </w:r>
      <w:r w:rsidRPr="00520416">
        <w:rPr>
          <w:rFonts w:cs="Arial"/>
        </w:rPr>
        <w:t xml:space="preserve"> stát také vytváří podmínky pro činnost nezávislého dozoru (SÚJB, ČBÚ, MŽP).</w:t>
      </w:r>
    </w:p>
    <w:p w:rsidR="00520416" w:rsidRPr="00520416" w:rsidRDefault="00520416" w:rsidP="00AE2E6B">
      <w:pPr>
        <w:jc w:val="both"/>
        <w:rPr>
          <w:rFonts w:cs="Arial"/>
        </w:rPr>
      </w:pPr>
      <w:r w:rsidRPr="00520416">
        <w:rPr>
          <w:rFonts w:cs="Arial"/>
        </w:rPr>
        <w:t xml:space="preserve">Mezi hlavní původce radioaktivních odpadů patří v ČR společnosti: ČEZ, a. s., provozující JE Dukovany a JE Temelín, Centrum výzkumu Řež, s. r. o., provozující </w:t>
      </w:r>
      <w:r w:rsidR="00F802A9">
        <w:rPr>
          <w:rFonts w:cs="Arial"/>
        </w:rPr>
        <w:t xml:space="preserve">výzkumné </w:t>
      </w:r>
      <w:r w:rsidRPr="00520416">
        <w:rPr>
          <w:rFonts w:cs="Arial"/>
        </w:rPr>
        <w:t xml:space="preserve">jaderné reaktory a ÚJV Řež, a. s., který zpracovává a upravuje do formy vhodné k uložení více než 90 % všech institucionálních RAO. Kromě toho existuje velké množství drobných původců, kteří využívají zdroje ionizujícího záření v průmyslu, zdravotnictví či výzkumu. </w:t>
      </w:r>
    </w:p>
    <w:p w:rsidR="00520416" w:rsidRPr="00520416" w:rsidRDefault="00520416" w:rsidP="00AE2E6B">
      <w:pPr>
        <w:jc w:val="both"/>
        <w:rPr>
          <w:rFonts w:cs="Arial"/>
        </w:rPr>
      </w:pPr>
      <w:r w:rsidRPr="00520416">
        <w:rPr>
          <w:rFonts w:cs="Arial"/>
        </w:rPr>
        <w:t xml:space="preserve">Ministerstvo průmyslu a obchodu zřídilo jako organizační složku státu Správu úložišť radioaktivních odpadů, která zajišťuje činnosti spojené s ukládáním radioaktivních odpadů. SÚRAO vykonává jednotlivé činnosti na základě povolení SÚJB. </w:t>
      </w:r>
    </w:p>
    <w:p w:rsidR="00520416" w:rsidRPr="0005025A" w:rsidRDefault="00520416" w:rsidP="0005025A">
      <w:pPr>
        <w:pStyle w:val="Nadpis3"/>
      </w:pPr>
      <w:bookmarkStart w:id="33" w:name="_Toc349043994"/>
      <w:bookmarkStart w:id="34" w:name="_Toc350512034"/>
      <w:bookmarkStart w:id="35" w:name="_Toc358623817"/>
      <w:bookmarkStart w:id="36" w:name="_Toc394418966"/>
      <w:bookmarkStart w:id="37" w:name="_Toc407035549"/>
      <w:bookmarkStart w:id="38" w:name="_Toc420055999"/>
      <w:r w:rsidRPr="0005025A">
        <w:t>Odhad budoucího množství RAO a VJP</w:t>
      </w:r>
      <w:bookmarkEnd w:id="33"/>
      <w:bookmarkEnd w:id="34"/>
      <w:bookmarkEnd w:id="35"/>
      <w:bookmarkEnd w:id="36"/>
      <w:bookmarkEnd w:id="37"/>
      <w:bookmarkEnd w:id="38"/>
    </w:p>
    <w:p w:rsidR="00520416" w:rsidRPr="003E3A57" w:rsidRDefault="00520416" w:rsidP="00AE2E6B">
      <w:pPr>
        <w:jc w:val="both"/>
        <w:rPr>
          <w:rFonts w:cs="Arial"/>
        </w:rPr>
      </w:pPr>
      <w:r w:rsidRPr="003E3A57">
        <w:rPr>
          <w:rFonts w:cs="Arial"/>
        </w:rPr>
        <w:t>V současné době vzniká zhruba 30 až 50 m</w:t>
      </w:r>
      <w:r w:rsidRPr="003E3A57">
        <w:rPr>
          <w:rFonts w:cs="Arial"/>
          <w:vertAlign w:val="superscript"/>
        </w:rPr>
        <w:t xml:space="preserve">3 </w:t>
      </w:r>
      <w:r w:rsidRPr="003E3A57">
        <w:rPr>
          <w:rFonts w:cs="Arial"/>
        </w:rPr>
        <w:t>institucionálních radioaktivních odpadů ročně.</w:t>
      </w:r>
      <w:r w:rsidRPr="003E3A57">
        <w:t xml:space="preserve"> </w:t>
      </w:r>
      <w:r w:rsidRPr="003E3A57">
        <w:rPr>
          <w:rFonts w:cs="Arial"/>
        </w:rPr>
        <w:t>Počítá se s</w:t>
      </w:r>
      <w:r w:rsidR="00AE2E6B">
        <w:rPr>
          <w:rFonts w:cs="Arial"/>
        </w:rPr>
        <w:t> </w:t>
      </w:r>
      <w:r w:rsidRPr="003E3A57">
        <w:rPr>
          <w:rFonts w:cs="Arial"/>
        </w:rPr>
        <w:t>tím, že i v budoucnosti bude jejich produkce zhruba stejná jako v současnosti, kromě krátkého období zvýšení jejich množství v následujících pěti až deseti letech v důsledku likvidace ekologických škod v ÚJV Řež, a. s., (100 až 200 m³/rok). V dlouhodobějším časovém horizontu je ještě třeba počítat se vznikem odpadů z vyřazování výzkumných zařízení ÚJV Řež, a. s.</w:t>
      </w:r>
      <w:r w:rsidR="003E3A57" w:rsidRPr="003E3A57">
        <w:rPr>
          <w:rFonts w:cs="Arial"/>
        </w:rPr>
        <w:t xml:space="preserve">  </w:t>
      </w:r>
      <w:r w:rsidRPr="003E3A57">
        <w:rPr>
          <w:rFonts w:cs="Arial"/>
        </w:rPr>
        <w:t xml:space="preserve">Relativně velké množství odpadů vznikne v důsledku vyřazování jaderných zařízení z provozu. </w:t>
      </w:r>
    </w:p>
    <w:p w:rsidR="00520416" w:rsidRPr="0005025A" w:rsidRDefault="00520416" w:rsidP="001B3793">
      <w:pPr>
        <w:jc w:val="both"/>
        <w:rPr>
          <w:u w:val="single"/>
        </w:rPr>
      </w:pPr>
      <w:bookmarkStart w:id="39" w:name="_Toc349043995"/>
      <w:r w:rsidRPr="0005025A">
        <w:rPr>
          <w:u w:val="single"/>
        </w:rPr>
        <w:t>Odhad budoucího množství nízko a středněaktivních odpadů</w:t>
      </w:r>
      <w:r w:rsidR="00950590">
        <w:rPr>
          <w:u w:val="single"/>
        </w:rPr>
        <w:t xml:space="preserve"> (NAO a SAO)</w:t>
      </w:r>
      <w:r w:rsidRPr="0005025A">
        <w:rPr>
          <w:u w:val="single"/>
        </w:rPr>
        <w:t xml:space="preserve"> splňujících podmínky přijatelnosti do přípovrchových úložišť</w:t>
      </w:r>
      <w:bookmarkEnd w:id="39"/>
    </w:p>
    <w:p w:rsidR="00520416" w:rsidRPr="00E21156" w:rsidRDefault="00520416" w:rsidP="00AE2E6B">
      <w:pPr>
        <w:jc w:val="both"/>
      </w:pPr>
      <w:r w:rsidRPr="00E21156">
        <w:t xml:space="preserve">Odhad budoucího množství NAO a SAO včetně odhadu odpadů, které by mohly vzniknout z nových jaderných zdrojů, </w:t>
      </w:r>
      <w:r w:rsidR="00C223D0">
        <w:t xml:space="preserve">uvádí </w:t>
      </w:r>
      <w:r w:rsidR="00C223D0">
        <w:fldChar w:fldCharType="begin"/>
      </w:r>
      <w:r w:rsidR="00C223D0">
        <w:instrText xml:space="preserve"> REF _Ref408845350 \h </w:instrText>
      </w:r>
      <w:r w:rsidR="00C223D0">
        <w:fldChar w:fldCharType="separate"/>
      </w:r>
      <w:r w:rsidR="007B491F" w:rsidRPr="00C223D0">
        <w:rPr>
          <w:rFonts w:cs="Arial"/>
        </w:rPr>
        <w:t xml:space="preserve">Tabulka č. </w:t>
      </w:r>
      <w:r w:rsidR="007B491F">
        <w:rPr>
          <w:rFonts w:cs="Arial"/>
          <w:noProof/>
        </w:rPr>
        <w:t>1</w:t>
      </w:r>
      <w:r w:rsidR="00C223D0">
        <w:fldChar w:fldCharType="end"/>
      </w:r>
      <w:r w:rsidRPr="00E21156">
        <w:t xml:space="preserve">. </w:t>
      </w:r>
    </w:p>
    <w:p w:rsidR="00C223D0" w:rsidRPr="00C223D0" w:rsidRDefault="00C223D0" w:rsidP="00C223D0">
      <w:pPr>
        <w:pStyle w:val="Titulek"/>
        <w:keepNext/>
        <w:jc w:val="both"/>
        <w:rPr>
          <w:rFonts w:cs="Arial"/>
          <w:color w:val="auto"/>
          <w:sz w:val="22"/>
          <w:szCs w:val="22"/>
        </w:rPr>
      </w:pPr>
      <w:bookmarkStart w:id="40" w:name="_Ref408845350"/>
      <w:bookmarkStart w:id="41" w:name="_Toc420058305"/>
      <w:r w:rsidRPr="00C223D0">
        <w:rPr>
          <w:rFonts w:cs="Arial"/>
          <w:color w:val="auto"/>
          <w:sz w:val="22"/>
          <w:szCs w:val="22"/>
        </w:rPr>
        <w:t xml:space="preserve">Tabulka č. </w:t>
      </w:r>
      <w:r w:rsidRPr="00C223D0">
        <w:rPr>
          <w:rFonts w:cs="Arial"/>
          <w:color w:val="auto"/>
          <w:sz w:val="22"/>
          <w:szCs w:val="22"/>
        </w:rPr>
        <w:fldChar w:fldCharType="begin"/>
      </w:r>
      <w:r w:rsidRPr="00C223D0">
        <w:rPr>
          <w:rFonts w:cs="Arial"/>
          <w:color w:val="auto"/>
          <w:sz w:val="22"/>
          <w:szCs w:val="22"/>
        </w:rPr>
        <w:instrText xml:space="preserve"> SEQ Tabulka_č. \* ARABIC </w:instrText>
      </w:r>
      <w:r w:rsidRPr="00C223D0">
        <w:rPr>
          <w:rFonts w:cs="Arial"/>
          <w:color w:val="auto"/>
          <w:sz w:val="22"/>
          <w:szCs w:val="22"/>
        </w:rPr>
        <w:fldChar w:fldCharType="separate"/>
      </w:r>
      <w:r w:rsidR="00FE1E1A">
        <w:rPr>
          <w:rFonts w:cs="Arial"/>
          <w:noProof/>
          <w:color w:val="auto"/>
          <w:sz w:val="22"/>
          <w:szCs w:val="22"/>
        </w:rPr>
        <w:t>1</w:t>
      </w:r>
      <w:r w:rsidRPr="00C223D0">
        <w:rPr>
          <w:rFonts w:cs="Arial"/>
          <w:color w:val="auto"/>
          <w:sz w:val="22"/>
          <w:szCs w:val="22"/>
        </w:rPr>
        <w:fldChar w:fldCharType="end"/>
      </w:r>
      <w:bookmarkEnd w:id="40"/>
      <w:r>
        <w:rPr>
          <w:rFonts w:cs="Arial"/>
          <w:color w:val="auto"/>
          <w:sz w:val="22"/>
          <w:szCs w:val="22"/>
        </w:rPr>
        <w:t xml:space="preserve">: </w:t>
      </w:r>
      <w:r w:rsidRPr="00C223D0">
        <w:rPr>
          <w:rFonts w:cs="Arial"/>
          <w:b w:val="0"/>
          <w:i/>
          <w:color w:val="auto"/>
          <w:sz w:val="22"/>
          <w:szCs w:val="22"/>
        </w:rPr>
        <w:t>Bilance nízko a středněaktivních upravených odpadů splňujících podmínky přijatelnosti do přípovrchových úložišť (konzervativní odhad)</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9"/>
        <w:gridCol w:w="3429"/>
      </w:tblGrid>
      <w:tr w:rsidR="00520416" w:rsidRPr="003E3A57" w:rsidTr="00491ABA">
        <w:trPr>
          <w:trHeight w:val="760"/>
        </w:trPr>
        <w:tc>
          <w:tcPr>
            <w:tcW w:w="3154" w:type="pct"/>
            <w:tcBorders>
              <w:top w:val="single" w:sz="12" w:space="0" w:color="auto"/>
              <w:left w:val="single" w:sz="12" w:space="0" w:color="auto"/>
              <w:bottom w:val="single" w:sz="12" w:space="0" w:color="auto"/>
              <w:right w:val="single" w:sz="8" w:space="0" w:color="auto"/>
            </w:tcBorders>
            <w:shd w:val="clear" w:color="auto" w:fill="B8CCE4" w:themeFill="accent1" w:themeFillTint="66"/>
            <w:vAlign w:val="center"/>
          </w:tcPr>
          <w:p w:rsidR="00520416" w:rsidRPr="003E3A57" w:rsidRDefault="00520416" w:rsidP="00C223D0">
            <w:pPr>
              <w:spacing w:after="0"/>
              <w:jc w:val="center"/>
              <w:rPr>
                <w:rFonts w:cs="Arial"/>
                <w:b/>
              </w:rPr>
            </w:pPr>
            <w:r w:rsidRPr="003E3A57">
              <w:rPr>
                <w:rFonts w:cs="Arial"/>
                <w:b/>
              </w:rPr>
              <w:t>Označení odpadu</w:t>
            </w:r>
          </w:p>
        </w:tc>
        <w:tc>
          <w:tcPr>
            <w:tcW w:w="1846" w:type="pct"/>
            <w:tcBorders>
              <w:top w:val="single" w:sz="12" w:space="0" w:color="auto"/>
              <w:left w:val="single" w:sz="8" w:space="0" w:color="auto"/>
              <w:bottom w:val="single" w:sz="12" w:space="0" w:color="auto"/>
              <w:right w:val="single" w:sz="12" w:space="0" w:color="auto"/>
            </w:tcBorders>
            <w:shd w:val="clear" w:color="auto" w:fill="B8CCE4" w:themeFill="accent1" w:themeFillTint="66"/>
            <w:vAlign w:val="center"/>
          </w:tcPr>
          <w:p w:rsidR="00520416" w:rsidRPr="003E3A57" w:rsidRDefault="00520416" w:rsidP="00C223D0">
            <w:pPr>
              <w:spacing w:after="0"/>
              <w:jc w:val="center"/>
              <w:rPr>
                <w:rFonts w:cs="Arial"/>
                <w:b/>
              </w:rPr>
            </w:pPr>
            <w:r w:rsidRPr="003E3A57">
              <w:rPr>
                <w:rFonts w:cs="Arial"/>
                <w:b/>
              </w:rPr>
              <w:t>Objem</w:t>
            </w:r>
          </w:p>
          <w:p w:rsidR="00520416" w:rsidRPr="003E3A57" w:rsidRDefault="00520416" w:rsidP="00C223D0">
            <w:pPr>
              <w:spacing w:after="0"/>
              <w:jc w:val="center"/>
              <w:rPr>
                <w:rFonts w:cs="Arial"/>
                <w:b/>
              </w:rPr>
            </w:pPr>
            <w:r w:rsidRPr="003E3A57">
              <w:rPr>
                <w:rFonts w:cs="Arial"/>
                <w:b/>
              </w:rPr>
              <w:t>[m</w:t>
            </w:r>
            <w:r w:rsidRPr="003E3A57">
              <w:rPr>
                <w:rFonts w:cs="Arial"/>
                <w:b/>
                <w:vertAlign w:val="superscript"/>
              </w:rPr>
              <w:t>3</w:t>
            </w:r>
            <w:r w:rsidRPr="003E3A57">
              <w:rPr>
                <w:rFonts w:cs="Arial"/>
                <w:b/>
              </w:rPr>
              <w:t>]</w:t>
            </w:r>
          </w:p>
        </w:tc>
      </w:tr>
      <w:tr w:rsidR="00520416" w:rsidRPr="003E3A57" w:rsidTr="00491ABA">
        <w:trPr>
          <w:trHeight w:val="330"/>
        </w:trPr>
        <w:tc>
          <w:tcPr>
            <w:tcW w:w="3154" w:type="pct"/>
            <w:tcBorders>
              <w:top w:val="single" w:sz="12" w:space="0" w:color="auto"/>
              <w:left w:val="single" w:sz="12" w:space="0" w:color="auto"/>
              <w:bottom w:val="dotted" w:sz="4" w:space="0" w:color="D9D9D9" w:themeColor="background1" w:themeShade="D9"/>
              <w:right w:val="single" w:sz="8" w:space="0" w:color="auto"/>
            </w:tcBorders>
          </w:tcPr>
          <w:p w:rsidR="00520416" w:rsidRPr="003E3A57" w:rsidRDefault="00520416" w:rsidP="00C223D0">
            <w:pPr>
              <w:spacing w:after="0"/>
              <w:rPr>
                <w:rFonts w:cs="Arial"/>
              </w:rPr>
            </w:pPr>
            <w:r w:rsidRPr="003E3A57">
              <w:rPr>
                <w:rFonts w:cs="Arial"/>
                <w:i/>
              </w:rPr>
              <w:t xml:space="preserve">Provozní odpady z JE </w:t>
            </w:r>
          </w:p>
        </w:tc>
        <w:tc>
          <w:tcPr>
            <w:tcW w:w="1846" w:type="pct"/>
            <w:tcBorders>
              <w:top w:val="single" w:sz="12" w:space="0" w:color="auto"/>
              <w:left w:val="single" w:sz="8" w:space="0" w:color="auto"/>
              <w:bottom w:val="dotted" w:sz="4" w:space="0" w:color="D9D9D9" w:themeColor="background1" w:themeShade="D9"/>
              <w:right w:val="single" w:sz="12" w:space="0" w:color="auto"/>
            </w:tcBorders>
          </w:tcPr>
          <w:p w:rsidR="00520416" w:rsidRPr="003E3A57" w:rsidRDefault="00520416" w:rsidP="00C223D0">
            <w:pPr>
              <w:spacing w:after="0"/>
              <w:jc w:val="center"/>
              <w:rPr>
                <w:rFonts w:cs="Arial"/>
                <w:vertAlign w:val="superscript"/>
              </w:rPr>
            </w:pPr>
          </w:p>
        </w:tc>
      </w:tr>
      <w:tr w:rsidR="00286F78" w:rsidRPr="003E3A57" w:rsidTr="00491ABA">
        <w:trPr>
          <w:trHeight w:val="360"/>
        </w:trPr>
        <w:tc>
          <w:tcPr>
            <w:tcW w:w="3154" w:type="pct"/>
            <w:tcBorders>
              <w:top w:val="dotted" w:sz="4" w:space="0" w:color="D9D9D9" w:themeColor="background1" w:themeShade="D9"/>
              <w:left w:val="single" w:sz="12" w:space="0" w:color="auto"/>
              <w:bottom w:val="dotted" w:sz="4" w:space="0" w:color="D9D9D9" w:themeColor="background1" w:themeShade="D9"/>
              <w:right w:val="single" w:sz="8" w:space="0" w:color="auto"/>
            </w:tcBorders>
          </w:tcPr>
          <w:p w:rsidR="00286F78" w:rsidRPr="003E3A57" w:rsidRDefault="00286F78" w:rsidP="00C223D0">
            <w:pPr>
              <w:spacing w:after="0"/>
              <w:rPr>
                <w:rFonts w:cs="Arial"/>
                <w:i/>
              </w:rPr>
            </w:pPr>
            <w:r w:rsidRPr="003E3A57">
              <w:rPr>
                <w:rFonts w:cs="Arial"/>
              </w:rPr>
              <w:t>60 let životnost provozovaných JE</w:t>
            </w:r>
          </w:p>
        </w:tc>
        <w:tc>
          <w:tcPr>
            <w:tcW w:w="1846" w:type="pct"/>
            <w:tcBorders>
              <w:top w:val="dotted" w:sz="4" w:space="0" w:color="D9D9D9" w:themeColor="background1" w:themeShade="D9"/>
              <w:left w:val="single" w:sz="8" w:space="0" w:color="auto"/>
              <w:bottom w:val="dotted" w:sz="4" w:space="0" w:color="D9D9D9" w:themeColor="background1" w:themeShade="D9"/>
              <w:right w:val="single" w:sz="12" w:space="0" w:color="auto"/>
            </w:tcBorders>
          </w:tcPr>
          <w:p w:rsidR="00286F78" w:rsidRPr="003E3A57" w:rsidRDefault="00286F78" w:rsidP="00C223D0">
            <w:pPr>
              <w:spacing w:after="0"/>
              <w:jc w:val="center"/>
              <w:rPr>
                <w:rFonts w:cs="Arial"/>
              </w:rPr>
            </w:pPr>
            <w:r w:rsidRPr="003E3A57">
              <w:rPr>
                <w:rFonts w:cs="Arial"/>
              </w:rPr>
              <w:t>18 300</w:t>
            </w:r>
          </w:p>
        </w:tc>
      </w:tr>
      <w:tr w:rsidR="00286F78" w:rsidRPr="003E3A57" w:rsidTr="00491ABA">
        <w:trPr>
          <w:trHeight w:val="243"/>
        </w:trPr>
        <w:tc>
          <w:tcPr>
            <w:tcW w:w="3154" w:type="pct"/>
            <w:tcBorders>
              <w:top w:val="dotted" w:sz="4" w:space="0" w:color="D9D9D9" w:themeColor="background1" w:themeShade="D9"/>
              <w:left w:val="single" w:sz="12" w:space="0" w:color="auto"/>
              <w:bottom w:val="single" w:sz="4" w:space="0" w:color="A6A6A6" w:themeColor="background1" w:themeShade="A6"/>
              <w:right w:val="single" w:sz="8" w:space="0" w:color="auto"/>
            </w:tcBorders>
          </w:tcPr>
          <w:p w:rsidR="00286F78" w:rsidRPr="003E3A57" w:rsidRDefault="00286F78" w:rsidP="00C223D0">
            <w:pPr>
              <w:spacing w:after="0"/>
              <w:rPr>
                <w:rFonts w:cs="Arial"/>
              </w:rPr>
            </w:pPr>
            <w:r w:rsidRPr="003E3A57">
              <w:rPr>
                <w:rFonts w:cs="Arial"/>
              </w:rPr>
              <w:t>60 let životnost NJZ</w:t>
            </w:r>
          </w:p>
        </w:tc>
        <w:tc>
          <w:tcPr>
            <w:tcW w:w="1846" w:type="pct"/>
            <w:tcBorders>
              <w:top w:val="dotted" w:sz="4" w:space="0" w:color="D9D9D9" w:themeColor="background1" w:themeShade="D9"/>
              <w:left w:val="single" w:sz="8" w:space="0" w:color="auto"/>
              <w:bottom w:val="single" w:sz="4" w:space="0" w:color="A6A6A6" w:themeColor="background1" w:themeShade="A6"/>
              <w:right w:val="single" w:sz="12" w:space="0" w:color="auto"/>
            </w:tcBorders>
          </w:tcPr>
          <w:p w:rsidR="00286F78" w:rsidRPr="003E3A57" w:rsidRDefault="00286F78" w:rsidP="00C223D0">
            <w:pPr>
              <w:spacing w:after="0"/>
              <w:jc w:val="center"/>
              <w:rPr>
                <w:rFonts w:cs="Arial"/>
              </w:rPr>
            </w:pPr>
            <w:r w:rsidRPr="003E3A57">
              <w:rPr>
                <w:rFonts w:cs="Arial"/>
              </w:rPr>
              <w:t xml:space="preserve">10 200–23 200 </w:t>
            </w:r>
            <w:r w:rsidRPr="003E3A57">
              <w:rPr>
                <w:rFonts w:cs="Arial"/>
                <w:vertAlign w:val="superscript"/>
              </w:rPr>
              <w:t>*)</w:t>
            </w:r>
          </w:p>
        </w:tc>
      </w:tr>
      <w:tr w:rsidR="00520416" w:rsidRPr="003E3A57" w:rsidTr="00491ABA">
        <w:trPr>
          <w:trHeight w:val="645"/>
        </w:trPr>
        <w:tc>
          <w:tcPr>
            <w:tcW w:w="3154" w:type="pct"/>
            <w:tcBorders>
              <w:top w:val="single" w:sz="4" w:space="0" w:color="A6A6A6" w:themeColor="background1" w:themeShade="A6"/>
              <w:left w:val="single" w:sz="12" w:space="0" w:color="auto"/>
              <w:bottom w:val="dotted" w:sz="4" w:space="0" w:color="D9D9D9" w:themeColor="background1" w:themeShade="D9"/>
              <w:right w:val="single" w:sz="8" w:space="0" w:color="auto"/>
            </w:tcBorders>
          </w:tcPr>
          <w:p w:rsidR="00520416" w:rsidRPr="003E3A57" w:rsidRDefault="00520416" w:rsidP="00C223D0">
            <w:pPr>
              <w:spacing w:after="0"/>
              <w:rPr>
                <w:rFonts w:cs="Arial"/>
              </w:rPr>
            </w:pPr>
            <w:r w:rsidRPr="003E3A57">
              <w:rPr>
                <w:rFonts w:cs="Arial"/>
                <w:i/>
              </w:rPr>
              <w:t>Nízko a středněaktivní odpady z vyřazování jaderných elektráren z provozu</w:t>
            </w:r>
          </w:p>
        </w:tc>
        <w:tc>
          <w:tcPr>
            <w:tcW w:w="1846" w:type="pct"/>
            <w:tcBorders>
              <w:top w:val="single" w:sz="4" w:space="0" w:color="A6A6A6" w:themeColor="background1" w:themeShade="A6"/>
              <w:left w:val="single" w:sz="8" w:space="0" w:color="auto"/>
              <w:bottom w:val="dotted" w:sz="4" w:space="0" w:color="D9D9D9" w:themeColor="background1" w:themeShade="D9"/>
              <w:right w:val="single" w:sz="12" w:space="0" w:color="auto"/>
            </w:tcBorders>
          </w:tcPr>
          <w:p w:rsidR="00520416" w:rsidRPr="003E3A57" w:rsidRDefault="00520416" w:rsidP="00C223D0">
            <w:pPr>
              <w:spacing w:after="0"/>
              <w:jc w:val="center"/>
              <w:rPr>
                <w:rFonts w:cs="Arial"/>
              </w:rPr>
            </w:pPr>
          </w:p>
          <w:p w:rsidR="00520416" w:rsidRPr="003E3A57" w:rsidRDefault="00520416" w:rsidP="00C223D0">
            <w:pPr>
              <w:spacing w:after="0"/>
              <w:jc w:val="center"/>
              <w:rPr>
                <w:rFonts w:cs="Arial"/>
                <w:vertAlign w:val="superscript"/>
              </w:rPr>
            </w:pPr>
          </w:p>
        </w:tc>
      </w:tr>
      <w:tr w:rsidR="00286F78" w:rsidRPr="003E3A57" w:rsidTr="00491ABA">
        <w:trPr>
          <w:trHeight w:val="345"/>
        </w:trPr>
        <w:tc>
          <w:tcPr>
            <w:tcW w:w="3154" w:type="pct"/>
            <w:tcBorders>
              <w:top w:val="dotted" w:sz="4" w:space="0" w:color="D9D9D9" w:themeColor="background1" w:themeShade="D9"/>
              <w:left w:val="single" w:sz="12" w:space="0" w:color="auto"/>
              <w:bottom w:val="dotted" w:sz="4" w:space="0" w:color="D9D9D9" w:themeColor="background1" w:themeShade="D9"/>
              <w:right w:val="single" w:sz="8" w:space="0" w:color="auto"/>
            </w:tcBorders>
          </w:tcPr>
          <w:p w:rsidR="00286F78" w:rsidRPr="003E3A57" w:rsidRDefault="00286F78" w:rsidP="00C223D0">
            <w:pPr>
              <w:spacing w:after="0"/>
              <w:rPr>
                <w:rFonts w:cs="Arial"/>
                <w:i/>
              </w:rPr>
            </w:pPr>
            <w:r w:rsidRPr="003E3A57">
              <w:rPr>
                <w:rFonts w:cs="Arial"/>
              </w:rPr>
              <w:t>60 let životnost provozovaných JE</w:t>
            </w:r>
          </w:p>
        </w:tc>
        <w:tc>
          <w:tcPr>
            <w:tcW w:w="1846" w:type="pct"/>
            <w:tcBorders>
              <w:top w:val="dotted" w:sz="4" w:space="0" w:color="D9D9D9" w:themeColor="background1" w:themeShade="D9"/>
              <w:left w:val="single" w:sz="8" w:space="0" w:color="auto"/>
              <w:bottom w:val="dotted" w:sz="4" w:space="0" w:color="D9D9D9" w:themeColor="background1" w:themeShade="D9"/>
              <w:right w:val="single" w:sz="12" w:space="0" w:color="auto"/>
            </w:tcBorders>
          </w:tcPr>
          <w:p w:rsidR="00286F78" w:rsidRPr="003E3A57" w:rsidRDefault="00286F78" w:rsidP="00C223D0">
            <w:pPr>
              <w:spacing w:after="0"/>
              <w:jc w:val="center"/>
              <w:rPr>
                <w:rFonts w:cs="Arial"/>
              </w:rPr>
            </w:pPr>
            <w:r w:rsidRPr="003E3A57">
              <w:rPr>
                <w:rFonts w:cs="Arial"/>
              </w:rPr>
              <w:t>10 800</w:t>
            </w:r>
            <w:r w:rsidRPr="003E3A57">
              <w:rPr>
                <w:rFonts w:cs="Arial"/>
                <w:vertAlign w:val="superscript"/>
              </w:rPr>
              <w:t>**)</w:t>
            </w:r>
          </w:p>
        </w:tc>
      </w:tr>
      <w:tr w:rsidR="00286F78" w:rsidRPr="003E3A57" w:rsidTr="00491ABA">
        <w:trPr>
          <w:trHeight w:val="258"/>
        </w:trPr>
        <w:tc>
          <w:tcPr>
            <w:tcW w:w="3154" w:type="pct"/>
            <w:tcBorders>
              <w:top w:val="dotted" w:sz="4" w:space="0" w:color="D9D9D9" w:themeColor="background1" w:themeShade="D9"/>
              <w:left w:val="single" w:sz="12" w:space="0" w:color="auto"/>
              <w:bottom w:val="single" w:sz="4" w:space="0" w:color="A6A6A6" w:themeColor="background1" w:themeShade="A6"/>
              <w:right w:val="single" w:sz="8" w:space="0" w:color="auto"/>
            </w:tcBorders>
          </w:tcPr>
          <w:p w:rsidR="00286F78" w:rsidRPr="003E3A57" w:rsidRDefault="00286F78" w:rsidP="00C223D0">
            <w:pPr>
              <w:spacing w:after="0"/>
              <w:rPr>
                <w:rFonts w:cs="Arial"/>
              </w:rPr>
            </w:pPr>
            <w:r w:rsidRPr="003E3A57">
              <w:rPr>
                <w:rFonts w:cs="Arial"/>
              </w:rPr>
              <w:t>60 let životnost NJZ</w:t>
            </w:r>
          </w:p>
        </w:tc>
        <w:tc>
          <w:tcPr>
            <w:tcW w:w="1846" w:type="pct"/>
            <w:tcBorders>
              <w:top w:val="dotted" w:sz="4" w:space="0" w:color="D9D9D9" w:themeColor="background1" w:themeShade="D9"/>
              <w:left w:val="single" w:sz="8" w:space="0" w:color="auto"/>
              <w:bottom w:val="single" w:sz="4" w:space="0" w:color="A6A6A6" w:themeColor="background1" w:themeShade="A6"/>
              <w:right w:val="single" w:sz="12" w:space="0" w:color="auto"/>
            </w:tcBorders>
          </w:tcPr>
          <w:p w:rsidR="00286F78" w:rsidRPr="003E3A57" w:rsidRDefault="00286F78" w:rsidP="00C223D0">
            <w:pPr>
              <w:spacing w:after="0"/>
              <w:jc w:val="center"/>
              <w:rPr>
                <w:rFonts w:cs="Arial"/>
              </w:rPr>
            </w:pPr>
            <w:r w:rsidRPr="003E3A57">
              <w:rPr>
                <w:rFonts w:cs="Arial"/>
              </w:rPr>
              <w:t xml:space="preserve">  7 200</w:t>
            </w:r>
            <w:r w:rsidRPr="003E3A57">
              <w:rPr>
                <w:rFonts w:cs="Arial"/>
                <w:vertAlign w:val="superscript"/>
              </w:rPr>
              <w:t>**)</w:t>
            </w:r>
          </w:p>
        </w:tc>
      </w:tr>
      <w:tr w:rsidR="00C223D0" w:rsidRPr="003E3A57" w:rsidTr="00491ABA">
        <w:trPr>
          <w:trHeight w:val="330"/>
        </w:trPr>
        <w:tc>
          <w:tcPr>
            <w:tcW w:w="3154" w:type="pct"/>
            <w:tcBorders>
              <w:top w:val="single" w:sz="4" w:space="0" w:color="A6A6A6" w:themeColor="background1" w:themeShade="A6"/>
              <w:left w:val="single" w:sz="12" w:space="0" w:color="auto"/>
              <w:bottom w:val="dotted" w:sz="4" w:space="0" w:color="D9D9D9" w:themeColor="background1" w:themeShade="D9"/>
              <w:right w:val="single" w:sz="8" w:space="0" w:color="auto"/>
            </w:tcBorders>
          </w:tcPr>
          <w:p w:rsidR="00C223D0" w:rsidRPr="003E3A57" w:rsidRDefault="00C223D0" w:rsidP="00C223D0">
            <w:pPr>
              <w:spacing w:after="0"/>
              <w:rPr>
                <w:rFonts w:cs="Arial"/>
              </w:rPr>
            </w:pPr>
            <w:r w:rsidRPr="003E3A57">
              <w:rPr>
                <w:rFonts w:cs="Arial"/>
                <w:i/>
              </w:rPr>
              <w:t xml:space="preserve">Institucionální odpady </w:t>
            </w:r>
          </w:p>
        </w:tc>
        <w:tc>
          <w:tcPr>
            <w:tcW w:w="1846" w:type="pct"/>
            <w:tcBorders>
              <w:top w:val="single" w:sz="4" w:space="0" w:color="A6A6A6" w:themeColor="background1" w:themeShade="A6"/>
              <w:left w:val="single" w:sz="8" w:space="0" w:color="auto"/>
              <w:bottom w:val="dotted" w:sz="4" w:space="0" w:color="D9D9D9" w:themeColor="background1" w:themeShade="D9"/>
              <w:right w:val="single" w:sz="12" w:space="0" w:color="auto"/>
            </w:tcBorders>
          </w:tcPr>
          <w:p w:rsidR="00C223D0" w:rsidRPr="003E3A57" w:rsidRDefault="00C223D0" w:rsidP="00C223D0">
            <w:pPr>
              <w:spacing w:after="0"/>
              <w:jc w:val="center"/>
              <w:rPr>
                <w:rFonts w:cs="Arial"/>
              </w:rPr>
            </w:pPr>
          </w:p>
        </w:tc>
      </w:tr>
      <w:tr w:rsidR="00286F78" w:rsidRPr="003E3A57" w:rsidTr="00491ABA">
        <w:trPr>
          <w:trHeight w:val="315"/>
        </w:trPr>
        <w:tc>
          <w:tcPr>
            <w:tcW w:w="3154" w:type="pct"/>
            <w:tcBorders>
              <w:top w:val="dotted" w:sz="4" w:space="0" w:color="D9D9D9" w:themeColor="background1" w:themeShade="D9"/>
              <w:left w:val="single" w:sz="12" w:space="0" w:color="auto"/>
              <w:bottom w:val="dotted" w:sz="4" w:space="0" w:color="D9D9D9" w:themeColor="background1" w:themeShade="D9"/>
              <w:right w:val="single" w:sz="8" w:space="0" w:color="auto"/>
            </w:tcBorders>
          </w:tcPr>
          <w:p w:rsidR="00286F78" w:rsidRPr="003E3A57" w:rsidRDefault="00286F78" w:rsidP="00C223D0">
            <w:pPr>
              <w:spacing w:after="0"/>
              <w:rPr>
                <w:rFonts w:cs="Arial"/>
                <w:i/>
              </w:rPr>
            </w:pPr>
            <w:r w:rsidRPr="003E3A57">
              <w:rPr>
                <w:rFonts w:cs="Arial"/>
              </w:rPr>
              <w:t>provozní odpady (60 let)</w:t>
            </w:r>
          </w:p>
        </w:tc>
        <w:tc>
          <w:tcPr>
            <w:tcW w:w="1846" w:type="pct"/>
            <w:tcBorders>
              <w:top w:val="dotted" w:sz="4" w:space="0" w:color="D9D9D9" w:themeColor="background1" w:themeShade="D9"/>
              <w:left w:val="single" w:sz="8" w:space="0" w:color="auto"/>
              <w:bottom w:val="dotted" w:sz="4" w:space="0" w:color="D9D9D9" w:themeColor="background1" w:themeShade="D9"/>
              <w:right w:val="single" w:sz="12" w:space="0" w:color="auto"/>
            </w:tcBorders>
          </w:tcPr>
          <w:p w:rsidR="00286F78" w:rsidRPr="003E3A57" w:rsidRDefault="00286F78" w:rsidP="00C223D0">
            <w:pPr>
              <w:spacing w:after="0"/>
              <w:jc w:val="center"/>
              <w:rPr>
                <w:rFonts w:cs="Arial"/>
              </w:rPr>
            </w:pPr>
            <w:r w:rsidRPr="003E3A57">
              <w:rPr>
                <w:rFonts w:cs="Arial"/>
              </w:rPr>
              <w:t>2 000</w:t>
            </w:r>
          </w:p>
        </w:tc>
      </w:tr>
      <w:tr w:rsidR="00286F78" w:rsidRPr="003E3A57" w:rsidTr="00491ABA">
        <w:trPr>
          <w:trHeight w:val="345"/>
        </w:trPr>
        <w:tc>
          <w:tcPr>
            <w:tcW w:w="3154" w:type="pct"/>
            <w:tcBorders>
              <w:top w:val="dotted" w:sz="4" w:space="0" w:color="D9D9D9" w:themeColor="background1" w:themeShade="D9"/>
              <w:left w:val="single" w:sz="12" w:space="0" w:color="auto"/>
              <w:bottom w:val="thinThickSmallGap" w:sz="24" w:space="0" w:color="auto"/>
              <w:right w:val="single" w:sz="8" w:space="0" w:color="auto"/>
            </w:tcBorders>
          </w:tcPr>
          <w:p w:rsidR="00286F78" w:rsidRPr="003E3A57" w:rsidRDefault="00286F78" w:rsidP="00C223D0">
            <w:pPr>
              <w:spacing w:after="0"/>
              <w:rPr>
                <w:rFonts w:cs="Arial"/>
              </w:rPr>
            </w:pPr>
            <w:r w:rsidRPr="003E3A57">
              <w:rPr>
                <w:rFonts w:cs="Arial"/>
              </w:rPr>
              <w:t>odpady z ekologických škod a vyřazování jaderných zařízení</w:t>
            </w:r>
          </w:p>
        </w:tc>
        <w:tc>
          <w:tcPr>
            <w:tcW w:w="1846" w:type="pct"/>
            <w:tcBorders>
              <w:top w:val="dotted" w:sz="4" w:space="0" w:color="D9D9D9" w:themeColor="background1" w:themeShade="D9"/>
              <w:left w:val="single" w:sz="8" w:space="0" w:color="auto"/>
              <w:bottom w:val="thinThickSmallGap" w:sz="24" w:space="0" w:color="auto"/>
              <w:right w:val="single" w:sz="12" w:space="0" w:color="auto"/>
            </w:tcBorders>
          </w:tcPr>
          <w:p w:rsidR="00286F78" w:rsidRPr="003E3A57" w:rsidRDefault="00286F78" w:rsidP="00C223D0">
            <w:pPr>
              <w:spacing w:after="0"/>
              <w:jc w:val="center"/>
              <w:rPr>
                <w:rFonts w:cs="Arial"/>
              </w:rPr>
            </w:pPr>
            <w:r w:rsidRPr="003E3A57">
              <w:rPr>
                <w:rFonts w:cs="Arial"/>
              </w:rPr>
              <w:t xml:space="preserve">     1 500 </w:t>
            </w:r>
            <w:r w:rsidRPr="003E3A57">
              <w:rPr>
                <w:rFonts w:cs="Arial"/>
                <w:vertAlign w:val="superscript"/>
              </w:rPr>
              <w:t>***)</w:t>
            </w:r>
          </w:p>
        </w:tc>
      </w:tr>
    </w:tbl>
    <w:p w:rsidR="00520416" w:rsidRPr="00535E63" w:rsidRDefault="00520416" w:rsidP="00AE2E6B">
      <w:pPr>
        <w:spacing w:after="0"/>
        <w:rPr>
          <w:rFonts w:cs="Arial"/>
          <w:bCs/>
          <w:i/>
          <w:sz w:val="20"/>
        </w:rPr>
      </w:pPr>
      <w:r w:rsidRPr="00535E63">
        <w:rPr>
          <w:rFonts w:cs="Arial"/>
          <w:i/>
          <w:sz w:val="20"/>
          <w:vertAlign w:val="superscript"/>
        </w:rPr>
        <w:t>*)</w:t>
      </w:r>
      <w:r w:rsidRPr="00535E63">
        <w:rPr>
          <w:rFonts w:cs="Arial"/>
          <w:i/>
          <w:sz w:val="20"/>
        </w:rPr>
        <w:t xml:space="preserve"> Odhad produkce odpadů z NJZ vychází z obecného požadavku pro pokročilé reaktory III. generace produkovat méně než 50 m</w:t>
      </w:r>
      <w:r w:rsidRPr="00535E63">
        <w:rPr>
          <w:rFonts w:cs="Arial"/>
          <w:i/>
          <w:sz w:val="20"/>
          <w:vertAlign w:val="superscript"/>
        </w:rPr>
        <w:t>3</w:t>
      </w:r>
      <w:r w:rsidRPr="00535E63">
        <w:rPr>
          <w:rFonts w:cs="Arial"/>
          <w:i/>
          <w:sz w:val="20"/>
        </w:rPr>
        <w:t xml:space="preserve"> upravených RAO na 1 GW instalovaného výkonu a z údajů, které potenciální dodavatelé NJZ uvádějí ve svých nabízených typových projektech.</w:t>
      </w:r>
    </w:p>
    <w:p w:rsidR="00520416" w:rsidRPr="00535E63" w:rsidRDefault="00520416" w:rsidP="00AE2E6B">
      <w:pPr>
        <w:spacing w:after="0"/>
        <w:rPr>
          <w:rFonts w:cs="Arial"/>
          <w:i/>
          <w:sz w:val="20"/>
        </w:rPr>
      </w:pPr>
      <w:r w:rsidRPr="00535E63">
        <w:rPr>
          <w:rFonts w:cs="Arial"/>
          <w:i/>
          <w:sz w:val="20"/>
          <w:vertAlign w:val="superscript"/>
        </w:rPr>
        <w:lastRenderedPageBreak/>
        <w:t>**)</w:t>
      </w:r>
      <w:r w:rsidRPr="00535E63">
        <w:rPr>
          <w:rFonts w:cs="Arial"/>
          <w:i/>
          <w:sz w:val="20"/>
        </w:rPr>
        <w:t xml:space="preserve"> O</w:t>
      </w:r>
      <w:r w:rsidRPr="00535E63">
        <w:rPr>
          <w:rFonts w:cs="Arial"/>
          <w:bCs/>
          <w:i/>
          <w:sz w:val="20"/>
        </w:rPr>
        <w:t>dhad produkce odpadů je srovnatelný pro všechny varianty vyřazování.</w:t>
      </w:r>
    </w:p>
    <w:p w:rsidR="00520416" w:rsidRPr="00535E63" w:rsidRDefault="00520416" w:rsidP="00C223D0">
      <w:pPr>
        <w:rPr>
          <w:rFonts w:cs="Arial"/>
          <w:i/>
          <w:sz w:val="20"/>
        </w:rPr>
      </w:pPr>
      <w:r w:rsidRPr="00535E63">
        <w:rPr>
          <w:rFonts w:cs="Arial"/>
          <w:i/>
          <w:sz w:val="20"/>
          <w:vertAlign w:val="superscript"/>
        </w:rPr>
        <w:t>***)</w:t>
      </w:r>
      <w:r w:rsidRPr="00535E63">
        <w:rPr>
          <w:rFonts w:cs="Arial"/>
          <w:i/>
          <w:sz w:val="20"/>
        </w:rPr>
        <w:t xml:space="preserve"> Zahrnuje odpady z vyřazování všech organizací s povolením nakládání s RAO, bilance odpadů z ekologických škod je uvažována konzervativně, bez případného uvolnění do ŽP.</w:t>
      </w:r>
    </w:p>
    <w:p w:rsidR="003E3A57" w:rsidRPr="0005025A" w:rsidRDefault="00520416" w:rsidP="0005025A">
      <w:pPr>
        <w:rPr>
          <w:u w:val="single"/>
        </w:rPr>
      </w:pPr>
      <w:bookmarkStart w:id="42" w:name="_Toc349043996"/>
      <w:r w:rsidRPr="0005025A">
        <w:rPr>
          <w:u w:val="single"/>
        </w:rPr>
        <w:t>Odhad budoucího množství středně a vysokoaktivních odpadů určených do hlubinného úložiště</w:t>
      </w:r>
      <w:bookmarkEnd w:id="42"/>
    </w:p>
    <w:p w:rsidR="00520416" w:rsidRPr="003E3A57" w:rsidRDefault="00520416" w:rsidP="00AE2E6B">
      <w:pPr>
        <w:jc w:val="both"/>
        <w:rPr>
          <w:rFonts w:cs="Arial"/>
        </w:rPr>
      </w:pPr>
      <w:r w:rsidRPr="003E3A57">
        <w:rPr>
          <w:rFonts w:cs="Arial"/>
        </w:rPr>
        <w:t xml:space="preserve">Tato skupina odpadů zahrnuje zejména aktivovaný provozní materiál a předměty, které se skladují po celou dobu provozu na JE. Zneškodněny budou při vyřazování </w:t>
      </w:r>
      <w:proofErr w:type="gramStart"/>
      <w:r w:rsidRPr="003E3A57">
        <w:rPr>
          <w:rFonts w:cs="Arial"/>
        </w:rPr>
        <w:t>JE</w:t>
      </w:r>
      <w:proofErr w:type="gramEnd"/>
      <w:r w:rsidRPr="003E3A57">
        <w:rPr>
          <w:rFonts w:cs="Arial"/>
        </w:rPr>
        <w:t xml:space="preserve"> z provozu </w:t>
      </w:r>
      <w:r w:rsidR="00DE1A26">
        <w:rPr>
          <w:rFonts w:cs="Arial"/>
        </w:rPr>
        <w:t>(</w:t>
      </w:r>
      <w:r w:rsidRPr="003E3A57">
        <w:rPr>
          <w:rFonts w:cs="Arial"/>
        </w:rPr>
        <w:t>např. aktivovaná měřicí čidla, termočlánky, vložené tyče, kazety svědečných vzorků, absorbátory). Během vyřazování JE z</w:t>
      </w:r>
      <w:r w:rsidR="00C223D0">
        <w:rPr>
          <w:rFonts w:cs="Arial"/>
        </w:rPr>
        <w:t> </w:t>
      </w:r>
      <w:r w:rsidRPr="003E3A57">
        <w:rPr>
          <w:rFonts w:cs="Arial"/>
        </w:rPr>
        <w:t>provozu vzniknou RAO, u nichž je důvodem pro uložení v</w:t>
      </w:r>
      <w:r w:rsidR="00950590">
        <w:rPr>
          <w:rFonts w:cs="Arial"/>
        </w:rPr>
        <w:t> hlubinném úložišti</w:t>
      </w:r>
      <w:r w:rsidRPr="003E3A57">
        <w:rPr>
          <w:rFonts w:cs="Arial"/>
        </w:rPr>
        <w:t xml:space="preserve"> </w:t>
      </w:r>
      <w:r w:rsidR="00950590">
        <w:rPr>
          <w:rFonts w:cs="Arial"/>
        </w:rPr>
        <w:t>(</w:t>
      </w:r>
      <w:r w:rsidRPr="003E3A57">
        <w:rPr>
          <w:rFonts w:cs="Arial"/>
        </w:rPr>
        <w:t>HÚ</w:t>
      </w:r>
      <w:r w:rsidR="00950590">
        <w:rPr>
          <w:rFonts w:cs="Arial"/>
        </w:rPr>
        <w:t>)</w:t>
      </w:r>
      <w:r w:rsidRPr="003E3A57">
        <w:rPr>
          <w:rFonts w:cs="Arial"/>
        </w:rPr>
        <w:t xml:space="preserve"> převýšení limitních hodnot objemových aktivit sledovaných radionuklidů aktivovaných v konstrukčních částech reaktorů po ukončení provozu. </w:t>
      </w:r>
    </w:p>
    <w:p w:rsidR="00C223D0" w:rsidRDefault="00C223D0" w:rsidP="00C223D0">
      <w:pPr>
        <w:pStyle w:val="Titulek"/>
        <w:keepNext/>
      </w:pPr>
      <w:bookmarkStart w:id="43" w:name="_Toc420058306"/>
      <w:r w:rsidRPr="00C223D0">
        <w:rPr>
          <w:rFonts w:cs="Arial"/>
          <w:color w:val="auto"/>
          <w:sz w:val="22"/>
          <w:szCs w:val="22"/>
        </w:rPr>
        <w:t xml:space="preserve">Tabulka č. </w:t>
      </w:r>
      <w:r w:rsidRPr="00C223D0">
        <w:rPr>
          <w:rFonts w:cs="Arial"/>
          <w:color w:val="auto"/>
          <w:sz w:val="22"/>
          <w:szCs w:val="22"/>
        </w:rPr>
        <w:fldChar w:fldCharType="begin"/>
      </w:r>
      <w:r w:rsidRPr="00C223D0">
        <w:rPr>
          <w:rFonts w:cs="Arial"/>
          <w:color w:val="auto"/>
          <w:sz w:val="22"/>
          <w:szCs w:val="22"/>
        </w:rPr>
        <w:instrText xml:space="preserve"> SEQ Tabulka_č. \* ARABIC </w:instrText>
      </w:r>
      <w:r w:rsidRPr="00C223D0">
        <w:rPr>
          <w:rFonts w:cs="Arial"/>
          <w:color w:val="auto"/>
          <w:sz w:val="22"/>
          <w:szCs w:val="22"/>
        </w:rPr>
        <w:fldChar w:fldCharType="separate"/>
      </w:r>
      <w:r w:rsidR="00FE1E1A">
        <w:rPr>
          <w:rFonts w:cs="Arial"/>
          <w:noProof/>
          <w:color w:val="auto"/>
          <w:sz w:val="22"/>
          <w:szCs w:val="22"/>
        </w:rPr>
        <w:t>2</w:t>
      </w:r>
      <w:r w:rsidRPr="00C223D0">
        <w:rPr>
          <w:rFonts w:cs="Arial"/>
          <w:color w:val="auto"/>
          <w:sz w:val="22"/>
          <w:szCs w:val="22"/>
        </w:rPr>
        <w:fldChar w:fldCharType="end"/>
      </w:r>
      <w:r w:rsidRPr="00C223D0">
        <w:rPr>
          <w:rFonts w:cs="Arial"/>
          <w:color w:val="auto"/>
          <w:sz w:val="22"/>
          <w:szCs w:val="22"/>
        </w:rPr>
        <w:t xml:space="preserve">: </w:t>
      </w:r>
      <w:r w:rsidRPr="00C223D0">
        <w:rPr>
          <w:rFonts w:cs="Arial"/>
          <w:b w:val="0"/>
          <w:i/>
          <w:color w:val="auto"/>
          <w:sz w:val="22"/>
          <w:szCs w:val="22"/>
        </w:rPr>
        <w:t>Bilance odpadů nepřijatelných do přípovrchových úložišť</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2"/>
        <w:gridCol w:w="3606"/>
      </w:tblGrid>
      <w:tr w:rsidR="00520416" w:rsidRPr="003E3A57" w:rsidTr="00491ABA">
        <w:trPr>
          <w:trHeight w:val="50"/>
        </w:trPr>
        <w:tc>
          <w:tcPr>
            <w:tcW w:w="3059" w:type="pct"/>
            <w:tcBorders>
              <w:top w:val="single" w:sz="12" w:space="0" w:color="auto"/>
              <w:left w:val="single" w:sz="12" w:space="0" w:color="auto"/>
              <w:bottom w:val="single" w:sz="12" w:space="0" w:color="auto"/>
              <w:right w:val="single" w:sz="8" w:space="0" w:color="auto"/>
            </w:tcBorders>
            <w:shd w:val="clear" w:color="auto" w:fill="B8CCE4" w:themeFill="accent1" w:themeFillTint="66"/>
            <w:vAlign w:val="center"/>
          </w:tcPr>
          <w:p w:rsidR="00520416" w:rsidRPr="003E3A57" w:rsidRDefault="00520416" w:rsidP="00286F78">
            <w:pPr>
              <w:spacing w:after="0"/>
              <w:ind w:left="-108"/>
              <w:jc w:val="center"/>
              <w:rPr>
                <w:rFonts w:cs="Arial"/>
                <w:b/>
              </w:rPr>
            </w:pPr>
            <w:bookmarkStart w:id="44" w:name="_Toc349043997"/>
            <w:r w:rsidRPr="003E3A57">
              <w:rPr>
                <w:rFonts w:cs="Arial"/>
                <w:b/>
              </w:rPr>
              <w:t>Označení odpadu</w:t>
            </w:r>
            <w:bookmarkEnd w:id="44"/>
          </w:p>
        </w:tc>
        <w:tc>
          <w:tcPr>
            <w:tcW w:w="1941" w:type="pct"/>
            <w:tcBorders>
              <w:top w:val="single" w:sz="12" w:space="0" w:color="auto"/>
              <w:left w:val="single" w:sz="8" w:space="0" w:color="auto"/>
              <w:bottom w:val="single" w:sz="12" w:space="0" w:color="auto"/>
              <w:right w:val="single" w:sz="12" w:space="0" w:color="auto"/>
            </w:tcBorders>
            <w:shd w:val="clear" w:color="auto" w:fill="B8CCE4" w:themeFill="accent1" w:themeFillTint="66"/>
            <w:vAlign w:val="center"/>
          </w:tcPr>
          <w:p w:rsidR="00520416" w:rsidRPr="003E3A57" w:rsidRDefault="00520416" w:rsidP="00286F78">
            <w:pPr>
              <w:spacing w:after="0"/>
              <w:jc w:val="center"/>
              <w:rPr>
                <w:rFonts w:cs="Arial"/>
                <w:b/>
              </w:rPr>
            </w:pPr>
            <w:bookmarkStart w:id="45" w:name="_Toc349043998"/>
            <w:r w:rsidRPr="003E3A57">
              <w:rPr>
                <w:rFonts w:cs="Arial"/>
                <w:b/>
              </w:rPr>
              <w:t>Hmotnost</w:t>
            </w:r>
          </w:p>
          <w:p w:rsidR="00520416" w:rsidRPr="003E3A57" w:rsidRDefault="00520416" w:rsidP="00286F78">
            <w:pPr>
              <w:spacing w:after="0"/>
              <w:jc w:val="center"/>
              <w:rPr>
                <w:rFonts w:cs="Arial"/>
                <w:b/>
              </w:rPr>
            </w:pPr>
            <w:r w:rsidRPr="003E3A57">
              <w:rPr>
                <w:rFonts w:cs="Arial"/>
                <w:b/>
              </w:rPr>
              <w:t>[t]</w:t>
            </w:r>
            <w:bookmarkEnd w:id="45"/>
          </w:p>
        </w:tc>
      </w:tr>
      <w:tr w:rsidR="00520416" w:rsidRPr="003E3A57" w:rsidTr="00491ABA">
        <w:trPr>
          <w:trHeight w:val="26"/>
        </w:trPr>
        <w:tc>
          <w:tcPr>
            <w:tcW w:w="3059" w:type="pct"/>
            <w:tcBorders>
              <w:top w:val="single" w:sz="12" w:space="0" w:color="auto"/>
              <w:left w:val="single" w:sz="12" w:space="0" w:color="auto"/>
              <w:bottom w:val="dotted" w:sz="4" w:space="0" w:color="808080" w:themeColor="background1" w:themeShade="80"/>
              <w:right w:val="single" w:sz="8" w:space="0" w:color="auto"/>
            </w:tcBorders>
            <w:vAlign w:val="center"/>
          </w:tcPr>
          <w:p w:rsidR="00520416" w:rsidRPr="003E3A57" w:rsidRDefault="00520416" w:rsidP="00286F78">
            <w:pPr>
              <w:spacing w:after="0"/>
              <w:rPr>
                <w:rFonts w:cs="Arial"/>
              </w:rPr>
            </w:pPr>
            <w:bookmarkStart w:id="46" w:name="_Toc349043999"/>
            <w:r w:rsidRPr="003E3A57">
              <w:rPr>
                <w:rFonts w:cs="Arial"/>
              </w:rPr>
              <w:t>Provozní odpady, provozované JE a NJZ (životnost 60 let)</w:t>
            </w:r>
            <w:bookmarkEnd w:id="46"/>
            <w:r w:rsidRPr="003E3A57">
              <w:rPr>
                <w:rFonts w:cs="Arial"/>
              </w:rPr>
              <w:t xml:space="preserve"> </w:t>
            </w:r>
          </w:p>
        </w:tc>
        <w:tc>
          <w:tcPr>
            <w:tcW w:w="1941" w:type="pct"/>
            <w:tcBorders>
              <w:top w:val="single" w:sz="12" w:space="0" w:color="auto"/>
              <w:left w:val="single" w:sz="8" w:space="0" w:color="auto"/>
              <w:bottom w:val="dotted" w:sz="4" w:space="0" w:color="808080" w:themeColor="background1" w:themeShade="80"/>
              <w:right w:val="single" w:sz="12" w:space="0" w:color="auto"/>
            </w:tcBorders>
            <w:vAlign w:val="center"/>
          </w:tcPr>
          <w:p w:rsidR="00520416" w:rsidRPr="003E3A57" w:rsidRDefault="00520416" w:rsidP="00286F78">
            <w:pPr>
              <w:spacing w:after="0"/>
              <w:jc w:val="center"/>
              <w:rPr>
                <w:rFonts w:cs="Arial"/>
              </w:rPr>
            </w:pPr>
            <w:bookmarkStart w:id="47" w:name="_Toc349044000"/>
            <w:r w:rsidRPr="003E3A57">
              <w:rPr>
                <w:rFonts w:cs="Arial"/>
              </w:rPr>
              <w:t>1</w:t>
            </w:r>
            <w:bookmarkEnd w:id="47"/>
            <w:r w:rsidRPr="003E3A57">
              <w:rPr>
                <w:rFonts w:cs="Arial"/>
              </w:rPr>
              <w:t>40</w:t>
            </w:r>
          </w:p>
        </w:tc>
      </w:tr>
      <w:tr w:rsidR="00520416" w:rsidRPr="003E3A57" w:rsidTr="00491ABA">
        <w:trPr>
          <w:trHeight w:val="50"/>
        </w:trPr>
        <w:tc>
          <w:tcPr>
            <w:tcW w:w="3059" w:type="pct"/>
            <w:tcBorders>
              <w:top w:val="dotted" w:sz="4" w:space="0" w:color="808080" w:themeColor="background1" w:themeShade="80"/>
              <w:left w:val="single" w:sz="12" w:space="0" w:color="auto"/>
              <w:bottom w:val="dotted" w:sz="4" w:space="0" w:color="808080" w:themeColor="background1" w:themeShade="80"/>
              <w:right w:val="single" w:sz="8" w:space="0" w:color="auto"/>
            </w:tcBorders>
            <w:vAlign w:val="center"/>
          </w:tcPr>
          <w:p w:rsidR="00520416" w:rsidRPr="003E3A57" w:rsidRDefault="00520416" w:rsidP="00286F78">
            <w:pPr>
              <w:spacing w:after="0"/>
              <w:rPr>
                <w:rFonts w:cs="Arial"/>
              </w:rPr>
            </w:pPr>
            <w:bookmarkStart w:id="48" w:name="_Toc349044001"/>
            <w:r w:rsidRPr="003E3A57">
              <w:rPr>
                <w:rFonts w:cs="Arial"/>
              </w:rPr>
              <w:t>Odpady z vyřazování JE</w:t>
            </w:r>
            <w:bookmarkEnd w:id="48"/>
          </w:p>
          <w:p w:rsidR="00520416" w:rsidRPr="003E3A57" w:rsidRDefault="00520416" w:rsidP="00286F78">
            <w:pPr>
              <w:spacing w:after="0"/>
              <w:rPr>
                <w:rFonts w:cs="Arial"/>
              </w:rPr>
            </w:pPr>
            <w:bookmarkStart w:id="49" w:name="_Toc349044002"/>
            <w:r w:rsidRPr="003E3A57">
              <w:rPr>
                <w:rFonts w:cs="Arial"/>
              </w:rPr>
              <w:t>(provozované JE a NJZ)</w:t>
            </w:r>
            <w:bookmarkEnd w:id="49"/>
          </w:p>
        </w:tc>
        <w:tc>
          <w:tcPr>
            <w:tcW w:w="1941" w:type="pct"/>
            <w:tcBorders>
              <w:top w:val="dotted" w:sz="4" w:space="0" w:color="808080" w:themeColor="background1" w:themeShade="80"/>
              <w:left w:val="single" w:sz="8" w:space="0" w:color="auto"/>
              <w:bottom w:val="dotted" w:sz="4" w:space="0" w:color="808080" w:themeColor="background1" w:themeShade="80"/>
              <w:right w:val="single" w:sz="12" w:space="0" w:color="auto"/>
            </w:tcBorders>
            <w:vAlign w:val="center"/>
          </w:tcPr>
          <w:p w:rsidR="00520416" w:rsidRPr="003E3A57" w:rsidRDefault="00520416" w:rsidP="00286F78">
            <w:pPr>
              <w:spacing w:after="0"/>
              <w:jc w:val="center"/>
              <w:rPr>
                <w:rFonts w:cs="Arial"/>
              </w:rPr>
            </w:pPr>
            <w:bookmarkStart w:id="50" w:name="_Toc349044003"/>
            <w:r w:rsidRPr="003E3A57">
              <w:rPr>
                <w:rFonts w:cs="Arial"/>
              </w:rPr>
              <w:t xml:space="preserve">4 </w:t>
            </w:r>
            <w:bookmarkEnd w:id="50"/>
            <w:r w:rsidRPr="003E3A57">
              <w:rPr>
                <w:rFonts w:cs="Arial"/>
              </w:rPr>
              <w:t>200</w:t>
            </w:r>
          </w:p>
        </w:tc>
      </w:tr>
      <w:tr w:rsidR="00520416" w:rsidRPr="003E3A57" w:rsidTr="00491ABA">
        <w:trPr>
          <w:trHeight w:val="404"/>
        </w:trPr>
        <w:tc>
          <w:tcPr>
            <w:tcW w:w="3059" w:type="pct"/>
            <w:tcBorders>
              <w:top w:val="dotted" w:sz="4" w:space="0" w:color="808080" w:themeColor="background1" w:themeShade="80"/>
              <w:left w:val="single" w:sz="12" w:space="0" w:color="auto"/>
              <w:bottom w:val="thinThickSmallGap" w:sz="24" w:space="0" w:color="auto"/>
              <w:right w:val="single" w:sz="8" w:space="0" w:color="auto"/>
            </w:tcBorders>
            <w:vAlign w:val="center"/>
          </w:tcPr>
          <w:p w:rsidR="00520416" w:rsidRPr="003E3A57" w:rsidRDefault="00520416" w:rsidP="00286F78">
            <w:pPr>
              <w:spacing w:after="0"/>
              <w:rPr>
                <w:rFonts w:cs="Arial"/>
              </w:rPr>
            </w:pPr>
            <w:bookmarkStart w:id="51" w:name="_Toc349044004"/>
            <w:r w:rsidRPr="003E3A57">
              <w:rPr>
                <w:rFonts w:cs="Arial"/>
              </w:rPr>
              <w:t>Institucionální odpady:</w:t>
            </w:r>
          </w:p>
          <w:p w:rsidR="00520416" w:rsidRPr="003E3A57" w:rsidRDefault="00520416" w:rsidP="00286F78">
            <w:pPr>
              <w:pStyle w:val="Odstavecseseznamem1"/>
              <w:numPr>
                <w:ilvl w:val="0"/>
                <w:numId w:val="3"/>
              </w:numPr>
              <w:spacing w:after="0"/>
              <w:ind w:left="284" w:hanging="284"/>
              <w:rPr>
                <w:rFonts w:asciiTheme="minorHAnsi" w:hAnsiTheme="minorHAnsi" w:cs="Arial"/>
              </w:rPr>
            </w:pPr>
            <w:r w:rsidRPr="003E3A57">
              <w:rPr>
                <w:rFonts w:asciiTheme="minorHAnsi" w:hAnsiTheme="minorHAnsi" w:cs="Arial"/>
              </w:rPr>
              <w:t>z vyřazování experimentálního reaktoru</w:t>
            </w:r>
            <w:bookmarkEnd w:id="51"/>
          </w:p>
          <w:p w:rsidR="00520416" w:rsidRPr="003E3A57" w:rsidRDefault="00520416" w:rsidP="00286F78">
            <w:pPr>
              <w:pStyle w:val="Odstavecseseznamem1"/>
              <w:numPr>
                <w:ilvl w:val="0"/>
                <w:numId w:val="3"/>
              </w:numPr>
              <w:spacing w:after="0"/>
              <w:ind w:left="284" w:hanging="284"/>
              <w:rPr>
                <w:rFonts w:asciiTheme="minorHAnsi" w:hAnsiTheme="minorHAnsi" w:cs="Arial"/>
              </w:rPr>
            </w:pPr>
            <w:r w:rsidRPr="003E3A57">
              <w:rPr>
                <w:rFonts w:asciiTheme="minorHAnsi" w:hAnsiTheme="minorHAnsi" w:cs="Arial"/>
              </w:rPr>
              <w:t>skladované v úložišti Richard</w:t>
            </w:r>
          </w:p>
        </w:tc>
        <w:tc>
          <w:tcPr>
            <w:tcW w:w="1941" w:type="pct"/>
            <w:tcBorders>
              <w:top w:val="dotted" w:sz="4" w:space="0" w:color="808080" w:themeColor="background1" w:themeShade="80"/>
              <w:left w:val="single" w:sz="8" w:space="0" w:color="auto"/>
              <w:bottom w:val="thinThickSmallGap" w:sz="24" w:space="0" w:color="auto"/>
              <w:right w:val="single" w:sz="12" w:space="0" w:color="auto"/>
            </w:tcBorders>
            <w:vAlign w:val="center"/>
          </w:tcPr>
          <w:p w:rsidR="00520416" w:rsidRPr="003E3A57" w:rsidRDefault="00520416" w:rsidP="00286F78">
            <w:pPr>
              <w:spacing w:after="0"/>
              <w:jc w:val="center"/>
              <w:rPr>
                <w:rFonts w:cs="Arial"/>
              </w:rPr>
            </w:pPr>
            <w:bookmarkStart w:id="52" w:name="_Toc349044005"/>
            <w:r w:rsidRPr="003E3A57">
              <w:rPr>
                <w:rFonts w:cs="Arial"/>
              </w:rPr>
              <w:t>20</w:t>
            </w:r>
          </w:p>
          <w:p w:rsidR="00520416" w:rsidRPr="003E3A57" w:rsidRDefault="00520416" w:rsidP="00286F78">
            <w:pPr>
              <w:spacing w:after="0"/>
              <w:jc w:val="center"/>
              <w:rPr>
                <w:rFonts w:cs="Arial"/>
              </w:rPr>
            </w:pPr>
            <w:r w:rsidRPr="003E3A57">
              <w:rPr>
                <w:rFonts w:cs="Arial"/>
              </w:rPr>
              <w:t>64 (189 ks sudů)</w:t>
            </w:r>
            <w:bookmarkEnd w:id="52"/>
          </w:p>
        </w:tc>
      </w:tr>
    </w:tbl>
    <w:p w:rsidR="00DE1A26" w:rsidRPr="0005025A" w:rsidRDefault="00520416" w:rsidP="00C223D0">
      <w:pPr>
        <w:spacing w:before="200"/>
        <w:rPr>
          <w:u w:val="single"/>
        </w:rPr>
      </w:pPr>
      <w:bookmarkStart w:id="53" w:name="_Toc349044006"/>
      <w:r w:rsidRPr="0005025A">
        <w:rPr>
          <w:u w:val="single"/>
        </w:rPr>
        <w:t>Odhad budoucího množství VJP z jaderných elektráren</w:t>
      </w:r>
      <w:bookmarkEnd w:id="53"/>
    </w:p>
    <w:p w:rsidR="00520416" w:rsidRPr="003E3A57" w:rsidRDefault="00520416" w:rsidP="00AE2E6B">
      <w:pPr>
        <w:jc w:val="both"/>
        <w:rPr>
          <w:rFonts w:cs="Arial"/>
        </w:rPr>
      </w:pPr>
      <w:r w:rsidRPr="003E3A57">
        <w:rPr>
          <w:rFonts w:cs="Arial"/>
        </w:rPr>
        <w:t>Odhad budoucího množství VJP byl proveden při aktualizaci referenčního projektu v roce 2009.</w:t>
      </w:r>
      <w:r w:rsidR="00DE1A26">
        <w:rPr>
          <w:rFonts w:cs="Arial"/>
        </w:rPr>
        <w:t xml:space="preserve"> </w:t>
      </w:r>
      <w:r w:rsidRPr="003E3A57">
        <w:rPr>
          <w:rFonts w:cs="Arial"/>
        </w:rPr>
        <w:t xml:space="preserve">Údaje v tabulce </w:t>
      </w:r>
      <w:r w:rsidR="0005025A">
        <w:rPr>
          <w:rFonts w:cs="Arial"/>
        </w:rPr>
        <w:t>3</w:t>
      </w:r>
      <w:r w:rsidRPr="003E3A57">
        <w:rPr>
          <w:rFonts w:cs="Arial"/>
        </w:rPr>
        <w:t xml:space="preserve"> zahrnují celkovou produkci VJP (včetně již skladovaného) a uvažovaného VJP pro provoz stávajících JE na období 40 a 60 let, u NJZ na období 60 let. V případě NJZ se předpokládají 3 bloky stejného výkonu.</w:t>
      </w:r>
    </w:p>
    <w:p w:rsidR="00C223D0" w:rsidRDefault="00C223D0" w:rsidP="00C223D0">
      <w:pPr>
        <w:pStyle w:val="Titulek"/>
        <w:keepNext/>
      </w:pPr>
      <w:bookmarkStart w:id="54" w:name="_Toc420058307"/>
      <w:r w:rsidRPr="00C223D0">
        <w:rPr>
          <w:rFonts w:cs="Arial"/>
          <w:color w:val="auto"/>
          <w:sz w:val="22"/>
          <w:szCs w:val="22"/>
        </w:rPr>
        <w:t xml:space="preserve">Tabulka č. </w:t>
      </w:r>
      <w:r w:rsidRPr="00C223D0">
        <w:rPr>
          <w:rFonts w:cs="Arial"/>
          <w:color w:val="auto"/>
          <w:sz w:val="22"/>
          <w:szCs w:val="22"/>
        </w:rPr>
        <w:fldChar w:fldCharType="begin"/>
      </w:r>
      <w:r w:rsidRPr="00C223D0">
        <w:rPr>
          <w:rFonts w:cs="Arial"/>
          <w:color w:val="auto"/>
          <w:sz w:val="22"/>
          <w:szCs w:val="22"/>
        </w:rPr>
        <w:instrText xml:space="preserve"> SEQ Tabulka_č. \* ARABIC </w:instrText>
      </w:r>
      <w:r w:rsidRPr="00C223D0">
        <w:rPr>
          <w:rFonts w:cs="Arial"/>
          <w:color w:val="auto"/>
          <w:sz w:val="22"/>
          <w:szCs w:val="22"/>
        </w:rPr>
        <w:fldChar w:fldCharType="separate"/>
      </w:r>
      <w:r w:rsidR="00FE1E1A">
        <w:rPr>
          <w:rFonts w:cs="Arial"/>
          <w:noProof/>
          <w:color w:val="auto"/>
          <w:sz w:val="22"/>
          <w:szCs w:val="22"/>
        </w:rPr>
        <w:t>3</w:t>
      </w:r>
      <w:r w:rsidRPr="00C223D0">
        <w:rPr>
          <w:rFonts w:cs="Arial"/>
          <w:color w:val="auto"/>
          <w:sz w:val="22"/>
          <w:szCs w:val="22"/>
        </w:rPr>
        <w:fldChar w:fldCharType="end"/>
      </w:r>
      <w:r w:rsidRPr="00C223D0">
        <w:rPr>
          <w:rFonts w:cs="Arial"/>
          <w:color w:val="auto"/>
          <w:sz w:val="22"/>
          <w:szCs w:val="22"/>
        </w:rPr>
        <w:t xml:space="preserve">: </w:t>
      </w:r>
      <w:r w:rsidRPr="00C223D0">
        <w:rPr>
          <w:rFonts w:cs="Arial"/>
          <w:b w:val="0"/>
          <w:i/>
          <w:color w:val="auto"/>
          <w:sz w:val="22"/>
          <w:szCs w:val="22"/>
        </w:rPr>
        <w:t>Bilance VJP určeného k uložení do hlubinného úložiště</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520416" w:rsidRPr="003E3A57" w:rsidTr="00491ABA">
        <w:trPr>
          <w:trHeight w:val="775"/>
        </w:trPr>
        <w:tc>
          <w:tcPr>
            <w:tcW w:w="1000" w:type="pct"/>
            <w:tcBorders>
              <w:top w:val="single" w:sz="12" w:space="0" w:color="auto"/>
              <w:left w:val="single" w:sz="12" w:space="0" w:color="auto"/>
              <w:bottom w:val="single" w:sz="12" w:space="0" w:color="auto"/>
              <w:right w:val="single" w:sz="2" w:space="0" w:color="auto"/>
            </w:tcBorders>
            <w:shd w:val="clear" w:color="auto" w:fill="B8CCE4" w:themeFill="accent1" w:themeFillTint="66"/>
            <w:vAlign w:val="center"/>
          </w:tcPr>
          <w:p w:rsidR="00520416" w:rsidRPr="003E3A57" w:rsidRDefault="00520416" w:rsidP="00B24C7E">
            <w:pPr>
              <w:spacing w:after="0"/>
              <w:jc w:val="center"/>
              <w:rPr>
                <w:rFonts w:cs="Arial"/>
                <w:b/>
              </w:rPr>
            </w:pPr>
            <w:bookmarkStart w:id="55" w:name="_Toc349044007"/>
            <w:r w:rsidRPr="003E3A57">
              <w:rPr>
                <w:rFonts w:cs="Arial"/>
                <w:b/>
              </w:rPr>
              <w:t>Doba provozu</w:t>
            </w:r>
            <w:bookmarkEnd w:id="55"/>
          </w:p>
        </w:tc>
        <w:tc>
          <w:tcPr>
            <w:tcW w:w="1000" w:type="pct"/>
            <w:tcBorders>
              <w:top w:val="single" w:sz="12" w:space="0" w:color="auto"/>
              <w:left w:val="single" w:sz="2" w:space="0" w:color="auto"/>
              <w:bottom w:val="single" w:sz="12" w:space="0" w:color="auto"/>
              <w:right w:val="single" w:sz="8" w:space="0" w:color="auto"/>
            </w:tcBorders>
            <w:shd w:val="clear" w:color="auto" w:fill="B8CCE4" w:themeFill="accent1" w:themeFillTint="66"/>
            <w:vAlign w:val="center"/>
          </w:tcPr>
          <w:p w:rsidR="00520416" w:rsidRPr="003E3A57" w:rsidRDefault="00520416" w:rsidP="00B24C7E">
            <w:pPr>
              <w:spacing w:after="0"/>
              <w:jc w:val="center"/>
              <w:rPr>
                <w:rFonts w:cs="Arial"/>
              </w:rPr>
            </w:pPr>
            <w:bookmarkStart w:id="56" w:name="_Toc349044008"/>
            <w:r w:rsidRPr="003E3A57">
              <w:rPr>
                <w:rFonts w:cs="Arial"/>
              </w:rPr>
              <w:t>EDU 1 - 4</w:t>
            </w:r>
          </w:p>
          <w:p w:rsidR="00520416" w:rsidRPr="003E3A57" w:rsidRDefault="00E52399" w:rsidP="00E52399">
            <w:pPr>
              <w:spacing w:after="0"/>
              <w:jc w:val="center"/>
              <w:rPr>
                <w:rFonts w:cs="Arial"/>
              </w:rPr>
            </w:pPr>
            <w:r>
              <w:rPr>
                <w:rFonts w:cs="Arial"/>
                <w:lang w:val="en-US"/>
              </w:rPr>
              <w:t>[</w:t>
            </w:r>
            <w:r w:rsidR="00520416" w:rsidRPr="003E3A57">
              <w:rPr>
                <w:rFonts w:cs="Arial"/>
              </w:rPr>
              <w:t>t TK</w:t>
            </w:r>
            <w:bookmarkEnd w:id="56"/>
            <w:r>
              <w:rPr>
                <w:rFonts w:cs="Arial"/>
              </w:rPr>
              <w:t>]</w:t>
            </w:r>
          </w:p>
        </w:tc>
        <w:tc>
          <w:tcPr>
            <w:tcW w:w="1000" w:type="pct"/>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rsidR="00520416" w:rsidRPr="003E3A57" w:rsidRDefault="00520416" w:rsidP="00B24C7E">
            <w:pPr>
              <w:spacing w:after="0"/>
              <w:jc w:val="center"/>
              <w:rPr>
                <w:rFonts w:cs="Arial"/>
              </w:rPr>
            </w:pPr>
            <w:bookmarkStart w:id="57" w:name="_Toc349044009"/>
            <w:r w:rsidRPr="003E3A57">
              <w:rPr>
                <w:rFonts w:cs="Arial"/>
              </w:rPr>
              <w:t>ETE 1,2</w:t>
            </w:r>
          </w:p>
          <w:p w:rsidR="00520416" w:rsidRPr="003E3A57" w:rsidRDefault="00E52399" w:rsidP="00E52399">
            <w:pPr>
              <w:spacing w:after="0"/>
              <w:jc w:val="center"/>
              <w:rPr>
                <w:rFonts w:cs="Arial"/>
              </w:rPr>
            </w:pPr>
            <w:proofErr w:type="gramStart"/>
            <w:r>
              <w:rPr>
                <w:rFonts w:cs="Arial"/>
              </w:rPr>
              <w:t>[</w:t>
            </w:r>
            <w:r w:rsidR="00520416" w:rsidRPr="003E3A57">
              <w:rPr>
                <w:rFonts w:cs="Arial"/>
              </w:rPr>
              <w:t>t TK</w:t>
            </w:r>
            <w:bookmarkEnd w:id="57"/>
            <w:proofErr w:type="gramEnd"/>
            <w:r>
              <w:rPr>
                <w:rFonts w:cs="Arial"/>
              </w:rPr>
              <w:t>]</w:t>
            </w:r>
          </w:p>
        </w:tc>
        <w:tc>
          <w:tcPr>
            <w:tcW w:w="1000" w:type="pct"/>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rsidR="00520416" w:rsidRPr="003E3A57" w:rsidRDefault="00520416" w:rsidP="00B24C7E">
            <w:pPr>
              <w:spacing w:after="0"/>
              <w:jc w:val="center"/>
              <w:rPr>
                <w:rFonts w:cs="Arial"/>
              </w:rPr>
            </w:pPr>
            <w:bookmarkStart w:id="58" w:name="_Toc349044010"/>
            <w:r w:rsidRPr="003E3A57">
              <w:rPr>
                <w:rFonts w:cs="Arial"/>
              </w:rPr>
              <w:t>NJZ (2 + 1)</w:t>
            </w:r>
          </w:p>
          <w:p w:rsidR="00520416" w:rsidRPr="003E3A57" w:rsidRDefault="00E52399" w:rsidP="00E52399">
            <w:pPr>
              <w:spacing w:after="0"/>
              <w:jc w:val="center"/>
              <w:rPr>
                <w:rFonts w:cs="Arial"/>
              </w:rPr>
            </w:pPr>
            <w:proofErr w:type="gramStart"/>
            <w:r>
              <w:rPr>
                <w:rFonts w:cs="Arial"/>
              </w:rPr>
              <w:t>[</w:t>
            </w:r>
            <w:r w:rsidR="00520416" w:rsidRPr="003E3A57">
              <w:rPr>
                <w:rFonts w:cs="Arial"/>
              </w:rPr>
              <w:t>t TK</w:t>
            </w:r>
            <w:bookmarkEnd w:id="58"/>
            <w:proofErr w:type="gramEnd"/>
            <w:r>
              <w:rPr>
                <w:rFonts w:cs="Arial"/>
              </w:rPr>
              <w:t>]</w:t>
            </w:r>
          </w:p>
        </w:tc>
        <w:tc>
          <w:tcPr>
            <w:tcW w:w="1000" w:type="pct"/>
            <w:tcBorders>
              <w:top w:val="single" w:sz="12" w:space="0" w:color="auto"/>
              <w:left w:val="single" w:sz="8" w:space="0" w:color="auto"/>
              <w:bottom w:val="single" w:sz="12" w:space="0" w:color="auto"/>
              <w:right w:val="single" w:sz="12" w:space="0" w:color="auto"/>
            </w:tcBorders>
            <w:shd w:val="clear" w:color="auto" w:fill="B8CCE4" w:themeFill="accent1" w:themeFillTint="66"/>
            <w:vAlign w:val="center"/>
          </w:tcPr>
          <w:p w:rsidR="00520416" w:rsidRPr="003E3A57" w:rsidRDefault="00520416" w:rsidP="00B24C7E">
            <w:pPr>
              <w:spacing w:after="0"/>
              <w:jc w:val="center"/>
              <w:rPr>
                <w:rFonts w:cs="Arial"/>
                <w:b/>
              </w:rPr>
            </w:pPr>
            <w:bookmarkStart w:id="59" w:name="_Toc349044011"/>
            <w:r w:rsidRPr="003E3A57">
              <w:rPr>
                <w:rFonts w:cs="Arial"/>
                <w:b/>
              </w:rPr>
              <w:t>Celkem</w:t>
            </w:r>
            <w:bookmarkEnd w:id="59"/>
          </w:p>
          <w:p w:rsidR="00520416" w:rsidRPr="003E3A57" w:rsidRDefault="00E52399" w:rsidP="00E52399">
            <w:pPr>
              <w:spacing w:after="0"/>
              <w:jc w:val="center"/>
              <w:rPr>
                <w:rFonts w:cs="Arial"/>
              </w:rPr>
            </w:pPr>
            <w:proofErr w:type="gramStart"/>
            <w:r>
              <w:rPr>
                <w:rFonts w:cs="Arial"/>
                <w:b/>
              </w:rPr>
              <w:t>[</w:t>
            </w:r>
            <w:r w:rsidR="00520416" w:rsidRPr="003E3A57">
              <w:rPr>
                <w:rFonts w:cs="Arial"/>
                <w:b/>
              </w:rPr>
              <w:t>t TK</w:t>
            </w:r>
            <w:proofErr w:type="gramEnd"/>
            <w:r>
              <w:rPr>
                <w:rFonts w:cs="Arial"/>
                <w:b/>
              </w:rPr>
              <w:t>]</w:t>
            </w:r>
          </w:p>
        </w:tc>
      </w:tr>
      <w:tr w:rsidR="00520416" w:rsidRPr="003E3A57" w:rsidTr="00491ABA">
        <w:trPr>
          <w:trHeight w:val="382"/>
        </w:trPr>
        <w:tc>
          <w:tcPr>
            <w:tcW w:w="1000" w:type="pct"/>
            <w:tcBorders>
              <w:top w:val="single" w:sz="12" w:space="0" w:color="auto"/>
              <w:left w:val="single" w:sz="12" w:space="0" w:color="auto"/>
              <w:bottom w:val="dotted" w:sz="4" w:space="0" w:color="808080" w:themeColor="background1" w:themeShade="80"/>
              <w:right w:val="single" w:sz="2" w:space="0" w:color="auto"/>
            </w:tcBorders>
            <w:vAlign w:val="bottom"/>
          </w:tcPr>
          <w:p w:rsidR="00520416" w:rsidRPr="003E3A57" w:rsidRDefault="00520416" w:rsidP="00B24C7E">
            <w:pPr>
              <w:spacing w:after="0"/>
              <w:jc w:val="center"/>
              <w:rPr>
                <w:rFonts w:cs="Arial"/>
              </w:rPr>
            </w:pPr>
            <w:bookmarkStart w:id="60" w:name="_Toc349044012"/>
            <w:r w:rsidRPr="003E3A57">
              <w:rPr>
                <w:rFonts w:cs="Arial"/>
              </w:rPr>
              <w:t>40 let</w:t>
            </w:r>
            <w:bookmarkEnd w:id="60"/>
          </w:p>
        </w:tc>
        <w:tc>
          <w:tcPr>
            <w:tcW w:w="1000" w:type="pct"/>
            <w:tcBorders>
              <w:top w:val="single" w:sz="12" w:space="0" w:color="auto"/>
              <w:left w:val="single" w:sz="2" w:space="0" w:color="auto"/>
              <w:bottom w:val="dotted" w:sz="4" w:space="0" w:color="808080" w:themeColor="background1" w:themeShade="80"/>
              <w:right w:val="single" w:sz="8" w:space="0" w:color="auto"/>
            </w:tcBorders>
            <w:vAlign w:val="bottom"/>
          </w:tcPr>
          <w:p w:rsidR="00520416" w:rsidRPr="003E3A57" w:rsidRDefault="00520416" w:rsidP="00B24C7E">
            <w:pPr>
              <w:spacing w:after="0"/>
              <w:jc w:val="center"/>
              <w:rPr>
                <w:rFonts w:cs="Arial"/>
              </w:rPr>
            </w:pPr>
            <w:bookmarkStart w:id="61" w:name="_Toc349044013"/>
            <w:r w:rsidRPr="003E3A57">
              <w:rPr>
                <w:rFonts w:cs="Arial"/>
              </w:rPr>
              <w:t>1 740</w:t>
            </w:r>
            <w:bookmarkEnd w:id="61"/>
          </w:p>
        </w:tc>
        <w:tc>
          <w:tcPr>
            <w:tcW w:w="1000" w:type="pct"/>
            <w:tcBorders>
              <w:top w:val="single" w:sz="12" w:space="0" w:color="auto"/>
              <w:left w:val="single" w:sz="8" w:space="0" w:color="auto"/>
              <w:bottom w:val="dotted" w:sz="4" w:space="0" w:color="808080" w:themeColor="background1" w:themeShade="80"/>
              <w:right w:val="single" w:sz="8" w:space="0" w:color="auto"/>
            </w:tcBorders>
            <w:vAlign w:val="bottom"/>
          </w:tcPr>
          <w:p w:rsidR="00520416" w:rsidRPr="003E3A57" w:rsidRDefault="00520416" w:rsidP="00B24C7E">
            <w:pPr>
              <w:spacing w:after="0"/>
              <w:jc w:val="center"/>
              <w:rPr>
                <w:rFonts w:cs="Arial"/>
              </w:rPr>
            </w:pPr>
            <w:bookmarkStart w:id="62" w:name="_Toc349044014"/>
            <w:r w:rsidRPr="003E3A57">
              <w:rPr>
                <w:rFonts w:cs="Arial"/>
              </w:rPr>
              <w:t>1 750</w:t>
            </w:r>
            <w:bookmarkEnd w:id="62"/>
          </w:p>
        </w:tc>
        <w:tc>
          <w:tcPr>
            <w:tcW w:w="1000" w:type="pct"/>
            <w:tcBorders>
              <w:top w:val="single" w:sz="12" w:space="0" w:color="auto"/>
              <w:left w:val="single" w:sz="8" w:space="0" w:color="auto"/>
              <w:bottom w:val="dotted" w:sz="4" w:space="0" w:color="808080" w:themeColor="background1" w:themeShade="80"/>
              <w:right w:val="single" w:sz="8" w:space="0" w:color="auto"/>
            </w:tcBorders>
            <w:vAlign w:val="bottom"/>
          </w:tcPr>
          <w:p w:rsidR="00520416" w:rsidRPr="003E3A57" w:rsidRDefault="00520416" w:rsidP="00B24C7E">
            <w:pPr>
              <w:spacing w:after="0"/>
              <w:jc w:val="center"/>
              <w:rPr>
                <w:rFonts w:cs="Arial"/>
              </w:rPr>
            </w:pPr>
            <w:bookmarkStart w:id="63" w:name="_Toc349044015"/>
            <w:r w:rsidRPr="003E3A57">
              <w:rPr>
                <w:rFonts w:cs="Arial"/>
              </w:rPr>
              <w:t>---</w:t>
            </w:r>
            <w:bookmarkEnd w:id="63"/>
          </w:p>
        </w:tc>
        <w:tc>
          <w:tcPr>
            <w:tcW w:w="1000" w:type="pct"/>
            <w:tcBorders>
              <w:top w:val="single" w:sz="12" w:space="0" w:color="auto"/>
              <w:left w:val="single" w:sz="8" w:space="0" w:color="auto"/>
              <w:bottom w:val="dotted" w:sz="4" w:space="0" w:color="808080" w:themeColor="background1" w:themeShade="80"/>
              <w:right w:val="single" w:sz="12" w:space="0" w:color="auto"/>
            </w:tcBorders>
            <w:vAlign w:val="bottom"/>
          </w:tcPr>
          <w:p w:rsidR="00520416" w:rsidRPr="003E3A57" w:rsidRDefault="00520416" w:rsidP="00B24C7E">
            <w:pPr>
              <w:spacing w:after="0"/>
              <w:jc w:val="center"/>
              <w:rPr>
                <w:rFonts w:cs="Arial"/>
              </w:rPr>
            </w:pPr>
            <w:bookmarkStart w:id="64" w:name="_Toc349044016"/>
            <w:r w:rsidRPr="003E3A57">
              <w:rPr>
                <w:rFonts w:cs="Arial"/>
              </w:rPr>
              <w:t>3 490</w:t>
            </w:r>
            <w:bookmarkEnd w:id="64"/>
          </w:p>
        </w:tc>
      </w:tr>
      <w:tr w:rsidR="00520416" w:rsidRPr="003E3A57" w:rsidTr="00491ABA">
        <w:trPr>
          <w:trHeight w:val="405"/>
        </w:trPr>
        <w:tc>
          <w:tcPr>
            <w:tcW w:w="1000" w:type="pct"/>
            <w:tcBorders>
              <w:top w:val="dotted" w:sz="4" w:space="0" w:color="808080" w:themeColor="background1" w:themeShade="80"/>
              <w:left w:val="single" w:sz="12" w:space="0" w:color="auto"/>
              <w:bottom w:val="thinThickSmallGap" w:sz="24" w:space="0" w:color="auto"/>
              <w:right w:val="single" w:sz="2" w:space="0" w:color="auto"/>
            </w:tcBorders>
            <w:vAlign w:val="bottom"/>
          </w:tcPr>
          <w:p w:rsidR="00520416" w:rsidRPr="003E3A57" w:rsidRDefault="00520416" w:rsidP="00B24C7E">
            <w:pPr>
              <w:spacing w:after="0"/>
              <w:jc w:val="center"/>
              <w:rPr>
                <w:rFonts w:cs="Arial"/>
              </w:rPr>
            </w:pPr>
            <w:bookmarkStart w:id="65" w:name="_Toc349044017"/>
            <w:r w:rsidRPr="003E3A57">
              <w:rPr>
                <w:rFonts w:cs="Arial"/>
              </w:rPr>
              <w:t>60 let</w:t>
            </w:r>
            <w:bookmarkEnd w:id="65"/>
          </w:p>
        </w:tc>
        <w:tc>
          <w:tcPr>
            <w:tcW w:w="1000" w:type="pct"/>
            <w:tcBorders>
              <w:top w:val="dotted" w:sz="4" w:space="0" w:color="808080" w:themeColor="background1" w:themeShade="80"/>
              <w:left w:val="single" w:sz="2" w:space="0" w:color="auto"/>
              <w:bottom w:val="thinThickSmallGap" w:sz="24" w:space="0" w:color="auto"/>
              <w:right w:val="single" w:sz="8" w:space="0" w:color="auto"/>
            </w:tcBorders>
            <w:vAlign w:val="bottom"/>
          </w:tcPr>
          <w:p w:rsidR="00520416" w:rsidRPr="003E3A57" w:rsidRDefault="00520416" w:rsidP="00B24C7E">
            <w:pPr>
              <w:spacing w:after="0"/>
              <w:jc w:val="center"/>
              <w:rPr>
                <w:rFonts w:cs="Arial"/>
              </w:rPr>
            </w:pPr>
            <w:bookmarkStart w:id="66" w:name="_Toc349044018"/>
            <w:r w:rsidRPr="003E3A57">
              <w:rPr>
                <w:rFonts w:cs="Arial"/>
              </w:rPr>
              <w:t>2 430</w:t>
            </w:r>
            <w:bookmarkEnd w:id="66"/>
          </w:p>
        </w:tc>
        <w:tc>
          <w:tcPr>
            <w:tcW w:w="1000" w:type="pct"/>
            <w:tcBorders>
              <w:top w:val="dotted" w:sz="4" w:space="0" w:color="808080" w:themeColor="background1" w:themeShade="80"/>
              <w:left w:val="single" w:sz="8" w:space="0" w:color="auto"/>
              <w:bottom w:val="thinThickSmallGap" w:sz="24" w:space="0" w:color="auto"/>
              <w:right w:val="single" w:sz="8" w:space="0" w:color="auto"/>
            </w:tcBorders>
            <w:vAlign w:val="bottom"/>
          </w:tcPr>
          <w:p w:rsidR="00520416" w:rsidRPr="003E3A57" w:rsidRDefault="00520416" w:rsidP="00B24C7E">
            <w:pPr>
              <w:spacing w:after="0"/>
              <w:jc w:val="center"/>
              <w:rPr>
                <w:rFonts w:cs="Arial"/>
              </w:rPr>
            </w:pPr>
            <w:bookmarkStart w:id="67" w:name="_Toc349044019"/>
            <w:r w:rsidRPr="003E3A57">
              <w:rPr>
                <w:rFonts w:cs="Arial"/>
              </w:rPr>
              <w:t>2 470</w:t>
            </w:r>
            <w:bookmarkEnd w:id="67"/>
          </w:p>
        </w:tc>
        <w:tc>
          <w:tcPr>
            <w:tcW w:w="1000" w:type="pct"/>
            <w:tcBorders>
              <w:top w:val="dotted" w:sz="4" w:space="0" w:color="808080" w:themeColor="background1" w:themeShade="80"/>
              <w:left w:val="single" w:sz="8" w:space="0" w:color="auto"/>
              <w:bottom w:val="thinThickSmallGap" w:sz="24" w:space="0" w:color="auto"/>
              <w:right w:val="single" w:sz="8" w:space="0" w:color="auto"/>
            </w:tcBorders>
            <w:vAlign w:val="bottom"/>
          </w:tcPr>
          <w:p w:rsidR="00520416" w:rsidRPr="003E3A57" w:rsidRDefault="00520416" w:rsidP="00B24C7E">
            <w:pPr>
              <w:spacing w:after="0"/>
              <w:jc w:val="center"/>
              <w:rPr>
                <w:rFonts w:cs="Arial"/>
              </w:rPr>
            </w:pPr>
            <w:bookmarkStart w:id="68" w:name="_Toc349044020"/>
            <w:r w:rsidRPr="00486C7C">
              <w:rPr>
                <w:rFonts w:cs="Arial"/>
              </w:rPr>
              <w:t>5 010</w:t>
            </w:r>
            <w:bookmarkEnd w:id="68"/>
          </w:p>
        </w:tc>
        <w:tc>
          <w:tcPr>
            <w:tcW w:w="1000" w:type="pct"/>
            <w:tcBorders>
              <w:top w:val="dotted" w:sz="4" w:space="0" w:color="808080" w:themeColor="background1" w:themeShade="80"/>
              <w:left w:val="single" w:sz="8" w:space="0" w:color="auto"/>
              <w:bottom w:val="thinThickSmallGap" w:sz="24" w:space="0" w:color="auto"/>
              <w:right w:val="single" w:sz="12" w:space="0" w:color="auto"/>
            </w:tcBorders>
            <w:vAlign w:val="bottom"/>
          </w:tcPr>
          <w:p w:rsidR="00520416" w:rsidRPr="003E3A57" w:rsidRDefault="00520416" w:rsidP="00B24C7E">
            <w:pPr>
              <w:spacing w:after="0"/>
              <w:jc w:val="center"/>
              <w:rPr>
                <w:rFonts w:cs="Arial"/>
              </w:rPr>
            </w:pPr>
            <w:bookmarkStart w:id="69" w:name="_Toc349044021"/>
            <w:r w:rsidRPr="003E3A57">
              <w:rPr>
                <w:rFonts w:cs="Arial"/>
              </w:rPr>
              <w:t>9 910</w:t>
            </w:r>
            <w:bookmarkEnd w:id="69"/>
          </w:p>
        </w:tc>
      </w:tr>
    </w:tbl>
    <w:p w:rsidR="00520416" w:rsidRPr="003E3A57" w:rsidRDefault="00520416" w:rsidP="00535E63">
      <w:pPr>
        <w:spacing w:before="200"/>
        <w:jc w:val="both"/>
        <w:rPr>
          <w:rFonts w:cs="Arial"/>
        </w:rPr>
      </w:pPr>
      <w:r w:rsidRPr="003E3A57">
        <w:rPr>
          <w:rFonts w:cs="Arial"/>
        </w:rPr>
        <w:t xml:space="preserve">Strategie </w:t>
      </w:r>
      <w:r w:rsidR="00DE1A26">
        <w:rPr>
          <w:rFonts w:cs="Arial"/>
        </w:rPr>
        <w:t xml:space="preserve">nakládání s VJP </w:t>
      </w:r>
      <w:r w:rsidRPr="003E3A57">
        <w:rPr>
          <w:rFonts w:cs="Arial"/>
        </w:rPr>
        <w:t xml:space="preserve">na základě vyhodnocení </w:t>
      </w:r>
      <w:r w:rsidR="005A4BF6" w:rsidRPr="003E3A57">
        <w:rPr>
          <w:rFonts w:cs="Arial"/>
        </w:rPr>
        <w:t>technickoekonomické</w:t>
      </w:r>
      <w:r w:rsidRPr="003E3A57">
        <w:rPr>
          <w:rFonts w:cs="Arial"/>
        </w:rPr>
        <w:t xml:space="preserve"> výhodnosti nevylučuje možnost dále recyklovat VJP ve formě paliva MOX v </w:t>
      </w:r>
      <w:proofErr w:type="spellStart"/>
      <w:r w:rsidRPr="003E3A57">
        <w:rPr>
          <w:rFonts w:cs="Arial"/>
        </w:rPr>
        <w:t>lehkovodních</w:t>
      </w:r>
      <w:proofErr w:type="spellEnd"/>
      <w:r w:rsidRPr="003E3A57">
        <w:rPr>
          <w:rFonts w:cs="Arial"/>
        </w:rPr>
        <w:t xml:space="preserve"> reaktorech nebo využít plutonium z přepracování VJP v rychlých reaktorech IV. generace, budou-li komerčně dostupné. Vzniklé vysokoaktivní a středněaktivní odpady bude nutno umístit do hlubinného úložiště. </w:t>
      </w:r>
    </w:p>
    <w:p w:rsidR="00520416" w:rsidRPr="0005025A" w:rsidRDefault="00520416" w:rsidP="0005025A">
      <w:pPr>
        <w:rPr>
          <w:u w:val="single"/>
        </w:rPr>
      </w:pPr>
      <w:bookmarkStart w:id="70" w:name="_Toc349044022"/>
      <w:r w:rsidRPr="0005025A">
        <w:rPr>
          <w:u w:val="single"/>
        </w:rPr>
        <w:t>Odhad budoucího množství VJP z výzkumného reaktoru LVR-15</w:t>
      </w:r>
      <w:bookmarkEnd w:id="70"/>
    </w:p>
    <w:p w:rsidR="00520416" w:rsidRPr="003E3A57" w:rsidRDefault="00520416" w:rsidP="00AE2E6B">
      <w:pPr>
        <w:jc w:val="both"/>
        <w:rPr>
          <w:rFonts w:cs="Arial"/>
        </w:rPr>
      </w:pPr>
      <w:r w:rsidRPr="003E3A57">
        <w:rPr>
          <w:rFonts w:cs="Arial"/>
        </w:rPr>
        <w:t xml:space="preserve">Provozem reaktoru LVR-15 bude dále vznikat nízko-obohacené VJP IRT-4M (obohacení 19,7 %). Do plánovaného termínu ukončení provozu reaktoru (2018) vznikne 136 ks </w:t>
      </w:r>
      <w:r w:rsidR="007F570D">
        <w:rPr>
          <w:rFonts w:cs="Arial"/>
        </w:rPr>
        <w:t>palivových souborů</w:t>
      </w:r>
      <w:r w:rsidRPr="003E3A57">
        <w:rPr>
          <w:rFonts w:cs="Arial"/>
        </w:rPr>
        <w:t xml:space="preserve"> IRT-4M. </w:t>
      </w:r>
      <w:r w:rsidRPr="003E3A57">
        <w:rPr>
          <w:rFonts w:cs="Arial"/>
        </w:rPr>
        <w:lastRenderedPageBreak/>
        <w:t xml:space="preserve">V případě prodloužení provozu reaktoru do roku 2028 bude celkové množství VJP 286 ks </w:t>
      </w:r>
      <w:r w:rsidR="007F570D">
        <w:rPr>
          <w:rFonts w:cs="Arial"/>
        </w:rPr>
        <w:t>palivových souborů</w:t>
      </w:r>
      <w:r w:rsidRPr="003E3A57">
        <w:rPr>
          <w:rFonts w:cs="Arial"/>
        </w:rPr>
        <w:t>. Přepracováním vznikne celkově zhruba 2 m</w:t>
      </w:r>
      <w:r w:rsidRPr="003E3A57">
        <w:rPr>
          <w:rFonts w:cs="Arial"/>
          <w:vertAlign w:val="superscript"/>
        </w:rPr>
        <w:t>3</w:t>
      </w:r>
      <w:r w:rsidRPr="003E3A57">
        <w:rPr>
          <w:rFonts w:cs="Arial"/>
        </w:rPr>
        <w:t xml:space="preserve"> vitrifikovaných odpadů obsahujících štěpné produkty a minoritní aktinidy.</w:t>
      </w:r>
    </w:p>
    <w:p w:rsidR="00520416" w:rsidRPr="00E21156" w:rsidRDefault="00520416" w:rsidP="00AE2E6B">
      <w:pPr>
        <w:pStyle w:val="Nadpis3"/>
      </w:pPr>
      <w:bookmarkStart w:id="71" w:name="_Toc349044029"/>
      <w:bookmarkStart w:id="72" w:name="_Toc350512037"/>
      <w:bookmarkStart w:id="73" w:name="_Toc358623819"/>
      <w:bookmarkStart w:id="74" w:name="_Toc394418968"/>
      <w:bookmarkStart w:id="75" w:name="_Toc407035550"/>
      <w:bookmarkStart w:id="76" w:name="_Toc420056000"/>
      <w:bookmarkStart w:id="77" w:name="_Toc349044031"/>
      <w:r w:rsidRPr="00E21156">
        <w:t>Nakládání s nízko a středněaktivními odpady z jaderných elektr</w:t>
      </w:r>
      <w:r w:rsidR="00DE1A26" w:rsidRPr="00E21156">
        <w:t xml:space="preserve">áren určených do přípovrchových </w:t>
      </w:r>
      <w:r w:rsidRPr="00E21156">
        <w:t>úložišť</w:t>
      </w:r>
      <w:bookmarkEnd w:id="71"/>
      <w:bookmarkEnd w:id="72"/>
      <w:bookmarkEnd w:id="73"/>
      <w:bookmarkEnd w:id="74"/>
      <w:bookmarkEnd w:id="75"/>
      <w:bookmarkEnd w:id="76"/>
    </w:p>
    <w:p w:rsidR="00520416" w:rsidRPr="00DE1A26" w:rsidRDefault="00520416" w:rsidP="00535E63">
      <w:pPr>
        <w:jc w:val="both"/>
        <w:rPr>
          <w:rFonts w:cs="Arial"/>
        </w:rPr>
      </w:pPr>
      <w:r w:rsidRPr="003E3A57">
        <w:rPr>
          <w:rFonts w:cs="Arial"/>
        </w:rPr>
        <w:t>Rozhodujícím zdrojem pro aktivitu kapalných médií je chladivo primárního okruhu. Zpracování kontaminovaných kapalných médií je vedeno jednak snahou koncentrovat aktivitu do co nejmenšího objemu, jednak i nutností zohlednit další kroky při nakládání s těmito RAO, zejména úpravy do formy, která splňuje podmínky přijatelnosti daného</w:t>
      </w:r>
      <w:r w:rsidR="00E91926">
        <w:rPr>
          <w:rFonts w:cs="Arial"/>
        </w:rPr>
        <w:t xml:space="preserve"> úložiště radioaktivního odpadu</w:t>
      </w:r>
      <w:r w:rsidRPr="003E3A57">
        <w:rPr>
          <w:rFonts w:cs="Arial"/>
        </w:rPr>
        <w:t xml:space="preserve"> </w:t>
      </w:r>
      <w:r w:rsidR="00E91926">
        <w:rPr>
          <w:rFonts w:cs="Arial"/>
        </w:rPr>
        <w:t>(</w:t>
      </w:r>
      <w:r w:rsidRPr="003E3A57">
        <w:rPr>
          <w:rFonts w:cs="Arial"/>
        </w:rPr>
        <w:t>ÚRAO</w:t>
      </w:r>
      <w:r w:rsidR="00E91926">
        <w:rPr>
          <w:rFonts w:cs="Arial"/>
        </w:rPr>
        <w:t>)</w:t>
      </w:r>
      <w:r w:rsidRPr="003E3A57">
        <w:rPr>
          <w:rFonts w:cs="Arial"/>
        </w:rPr>
        <w:t>.</w:t>
      </w:r>
      <w:r w:rsidR="00DE1A26">
        <w:rPr>
          <w:rFonts w:cs="Arial"/>
        </w:rPr>
        <w:t xml:space="preserve"> </w:t>
      </w:r>
      <w:r w:rsidRPr="003E3A57">
        <w:rPr>
          <w:rFonts w:cs="Arial"/>
        </w:rPr>
        <w:t>Pevný RAO vzniká hlavně během pravidelných odstávek reaktoru, při údržbářských a úklidových pracích, dekontaminaci zařízení a místností, v laboratořích apod. Jeho složení závisí na provozním režimu reaktoru. Základní operací při nakládání s pevným odpadem je vytřídění neaktivního podílu, který může být po radiochemické kontrole uvolněn do životního prostředí.</w:t>
      </w:r>
      <w:bookmarkStart w:id="78" w:name="_Toc349044030"/>
      <w:r w:rsidR="00DE1A26">
        <w:rPr>
          <w:rFonts w:cs="Arial"/>
        </w:rPr>
        <w:t xml:space="preserve"> </w:t>
      </w:r>
      <w:bookmarkEnd w:id="78"/>
      <w:r w:rsidRPr="003E3A57">
        <w:rPr>
          <w:rFonts w:cs="Arial"/>
        </w:rPr>
        <w:t xml:space="preserve">Pevný nebo zpevněný RAO v ocelových dvousetlitrových sudech je charakterizován a následně přepraven do ÚRAO Dukovany k uložení. </w:t>
      </w:r>
      <w:bookmarkEnd w:id="77"/>
      <w:r w:rsidRPr="003E3A57">
        <w:rPr>
          <w:rFonts w:cs="Arial"/>
        </w:rPr>
        <w:t>Provozní odpady z jaderných elektráren jsou ukládány do ÚRAO Dukovany, které je v trvalém provozu od roku 1995. Celkový objem úložných prostor je 55 000 m</w:t>
      </w:r>
      <w:r w:rsidRPr="003E3A57">
        <w:rPr>
          <w:rFonts w:cs="Arial"/>
          <w:vertAlign w:val="superscript"/>
        </w:rPr>
        <w:t>3</w:t>
      </w:r>
      <w:r w:rsidRPr="003E3A57">
        <w:rPr>
          <w:rFonts w:cs="Arial"/>
        </w:rPr>
        <w:t xml:space="preserve"> (asi 180 000 sudů) a dostačuje k uložení všech nízko a</w:t>
      </w:r>
      <w:r w:rsidR="00C223D0">
        <w:rPr>
          <w:rFonts w:cs="Arial"/>
        </w:rPr>
        <w:t> </w:t>
      </w:r>
      <w:r w:rsidRPr="003E3A57">
        <w:rPr>
          <w:rFonts w:cs="Arial"/>
        </w:rPr>
        <w:t xml:space="preserve">středněaktivních odpadů ze stávajících elektráren Dukovany a Temelín. </w:t>
      </w:r>
      <w:r w:rsidR="00DE1A26">
        <w:rPr>
          <w:rFonts w:cs="Arial"/>
        </w:rPr>
        <w:t>S</w:t>
      </w:r>
      <w:r w:rsidRPr="003E3A57">
        <w:rPr>
          <w:rFonts w:cs="Arial"/>
        </w:rPr>
        <w:t>oučasná kapacita ÚRAO Dukovany by mohla být vyčerpána kolem roku 2050.</w:t>
      </w:r>
      <w:r w:rsidR="00DE1A26">
        <w:rPr>
          <w:rFonts w:cs="Arial"/>
        </w:rPr>
        <w:t xml:space="preserve"> </w:t>
      </w:r>
      <w:r w:rsidRPr="003E3A57">
        <w:rPr>
          <w:rFonts w:cs="Arial"/>
        </w:rPr>
        <w:t xml:space="preserve">Chybějící kapacity pro uložení NAO/SAO </w:t>
      </w:r>
      <w:r w:rsidR="00DE1A26">
        <w:rPr>
          <w:rFonts w:cs="Arial"/>
        </w:rPr>
        <w:t>budou</w:t>
      </w:r>
      <w:r w:rsidRPr="003E3A57">
        <w:rPr>
          <w:rFonts w:cs="Arial"/>
        </w:rPr>
        <w:t xml:space="preserve"> zajištěny po zvážení a vyhodnocení několika variant, například rozšířením ÚRAO Dukovany, vybudováním úložiště v nové lokalitě nebo ukládáním NAO/SAO v komplexu připravovaného hlubinného úložiště </w:t>
      </w:r>
      <w:r w:rsidR="00104DDB">
        <w:rPr>
          <w:rFonts w:cs="Arial"/>
        </w:rPr>
        <w:t>vysoceaktivního odpadu (</w:t>
      </w:r>
      <w:r w:rsidRPr="003E3A57">
        <w:rPr>
          <w:rFonts w:cs="Arial"/>
        </w:rPr>
        <w:t>VAO</w:t>
      </w:r>
      <w:r w:rsidR="00104DDB">
        <w:rPr>
          <w:rFonts w:cs="Arial"/>
        </w:rPr>
        <w:t>)</w:t>
      </w:r>
      <w:r w:rsidRPr="003E3A57">
        <w:rPr>
          <w:rFonts w:cs="Arial"/>
        </w:rPr>
        <w:t xml:space="preserve"> a VJP.</w:t>
      </w:r>
      <w:r w:rsidR="00DE1A26">
        <w:rPr>
          <w:rFonts w:cs="Arial"/>
        </w:rPr>
        <w:t xml:space="preserve"> </w:t>
      </w:r>
      <w:r w:rsidRPr="00DE1A26">
        <w:rPr>
          <w:rFonts w:cs="Arial"/>
        </w:rPr>
        <w:t xml:space="preserve">Stávající technologie pro úpravu a zpracování RAO jsou schopny zpracovat </w:t>
      </w:r>
      <w:r w:rsidR="00DE1A26">
        <w:rPr>
          <w:rFonts w:cs="Arial"/>
        </w:rPr>
        <w:t xml:space="preserve">i </w:t>
      </w:r>
      <w:r w:rsidRPr="00DE1A26">
        <w:rPr>
          <w:rFonts w:cs="Arial"/>
        </w:rPr>
        <w:t>předvídatelné množství RAO z radiační havárie. Úložiště Dukovany je ke konci roku 2013 zaplněno ze 17 % a v nadcházejících desetiletích zde bude vždy dostatečná volná kapacita. Pro skladování RAO nesplňující podmínky přijatelnosti bude možné využít skladovací prostory původců RAO, případně dočasně vyčlenit pro skladování některé jímky v ÚRAO Dukovany.</w:t>
      </w:r>
    </w:p>
    <w:p w:rsidR="005F35F5" w:rsidRPr="005F35F5" w:rsidRDefault="005F35F5" w:rsidP="00AE2E6B">
      <w:pPr>
        <w:jc w:val="both"/>
        <w:rPr>
          <w:rFonts w:cs="Arial"/>
        </w:rPr>
      </w:pPr>
      <w:bookmarkStart w:id="79" w:name="_Toc349044057"/>
      <w:bookmarkStart w:id="80" w:name="_Toc358623826"/>
      <w:bookmarkStart w:id="81" w:name="_Toc394418976"/>
      <w:r>
        <w:rPr>
          <w:rFonts w:cs="Arial"/>
        </w:rPr>
        <w:t xml:space="preserve">Základním konceptem </w:t>
      </w:r>
      <w:r w:rsidR="007B188D">
        <w:rPr>
          <w:rFonts w:cs="Arial"/>
        </w:rPr>
        <w:t>nakládání</w:t>
      </w:r>
      <w:r>
        <w:rPr>
          <w:rFonts w:cs="Arial"/>
        </w:rPr>
        <w:t xml:space="preserve"> VJP je jeho hlubinné uložení do úložiště vybudovaného na území ČR. </w:t>
      </w:r>
      <w:r w:rsidRPr="00DE1A26">
        <w:rPr>
          <w:rFonts w:cs="Arial"/>
        </w:rPr>
        <w:t>Není však vyloučeno, že se v budoucnu rozhodne</w:t>
      </w:r>
      <w:r>
        <w:rPr>
          <w:rFonts w:cs="Arial"/>
        </w:rPr>
        <w:t>me</w:t>
      </w:r>
      <w:r w:rsidRPr="00DE1A26">
        <w:rPr>
          <w:rFonts w:cs="Arial"/>
        </w:rPr>
        <w:t xml:space="preserve"> VJP přepracovávat</w:t>
      </w:r>
      <w:r>
        <w:rPr>
          <w:rFonts w:cs="Arial"/>
        </w:rPr>
        <w:t>.</w:t>
      </w:r>
      <w:r w:rsidRPr="00DE1A26">
        <w:rPr>
          <w:rFonts w:cs="Arial"/>
        </w:rPr>
        <w:t xml:space="preserve"> Využití přepracovaného VJP pro pali</w:t>
      </w:r>
      <w:r>
        <w:rPr>
          <w:rFonts w:cs="Arial"/>
        </w:rPr>
        <w:t>vo rychlých reaktorů by vedlo k zásadnímu</w:t>
      </w:r>
      <w:r w:rsidRPr="00DE1A26">
        <w:rPr>
          <w:rFonts w:cs="Arial"/>
        </w:rPr>
        <w:t xml:space="preserve"> snížení objemu odpadů, které je třeba ukládat do hlubinného úložiště</w:t>
      </w:r>
      <w:r w:rsidRPr="0005025A">
        <w:rPr>
          <w:rFonts w:cs="Arial"/>
          <w:b/>
        </w:rPr>
        <w:t>. S ohledem na kapacitu skladovacích prostor a strategii konečné likvidace je nezbytné uvést do provozu hlubinné úložiště okolo roku 2065. Výběr lokality by měl být proveden do roku 2025. Samotná výstavba by měla započít po roce 2050</w:t>
      </w:r>
      <w:r>
        <w:rPr>
          <w:rFonts w:cs="Arial"/>
        </w:rPr>
        <w:t xml:space="preserve">, kdy se předpokládá i vyjasnění otázky použití VJP pro palivo reaktorů IV. </w:t>
      </w:r>
      <w:r w:rsidR="0005025A">
        <w:rPr>
          <w:rFonts w:cs="Arial"/>
        </w:rPr>
        <w:t>g</w:t>
      </w:r>
      <w:r>
        <w:rPr>
          <w:rFonts w:cs="Arial"/>
        </w:rPr>
        <w:t>enerace a tedy upřesnění objemu vysokoaktivní</w:t>
      </w:r>
      <w:r w:rsidR="00AE2E6B">
        <w:rPr>
          <w:rFonts w:cs="Arial"/>
        </w:rPr>
        <w:t>ho odpadu ke konečnému uložení.</w:t>
      </w:r>
    </w:p>
    <w:p w:rsidR="00520416" w:rsidRPr="00E21156" w:rsidRDefault="00520416" w:rsidP="00AE2E6B">
      <w:pPr>
        <w:pStyle w:val="Nadpis3"/>
      </w:pPr>
      <w:bookmarkStart w:id="82" w:name="_Toc407035551"/>
      <w:bookmarkStart w:id="83" w:name="_Toc420056001"/>
      <w:r w:rsidRPr="00E21156">
        <w:t>Skladování VJP z energetických reaktorů</w:t>
      </w:r>
      <w:bookmarkEnd w:id="79"/>
      <w:bookmarkEnd w:id="80"/>
      <w:bookmarkEnd w:id="81"/>
      <w:bookmarkEnd w:id="82"/>
      <w:bookmarkEnd w:id="83"/>
    </w:p>
    <w:p w:rsidR="00C32F0D" w:rsidRPr="00DE1A26" w:rsidRDefault="00520416" w:rsidP="00AE2E6B">
      <w:pPr>
        <w:jc w:val="both"/>
        <w:rPr>
          <w:rFonts w:cs="Arial"/>
        </w:rPr>
      </w:pPr>
      <w:r w:rsidRPr="00DE1A26">
        <w:rPr>
          <w:rFonts w:cs="Arial"/>
        </w:rPr>
        <w:t xml:space="preserve">V ČR je za skladování VJP z energetických reaktorů zodpovědná společnost ČEZ, a. s. V základní variantě ČEZ, a. s., je VJP po vyvezení z reaktoru skladováno v bazénu vyhořelého jaderného paliva (cca 7–10 let) a poté v suchých skladech (cca 40–60 let), které jsou primárně situovány v lokalitách elektráren. Společnost ČEZ, a. s., ve své strategii deklarovala záměr předávat </w:t>
      </w:r>
      <w:r w:rsidR="00895FA8">
        <w:rPr>
          <w:rFonts w:cs="Arial"/>
        </w:rPr>
        <w:t xml:space="preserve">VJP </w:t>
      </w:r>
      <w:r w:rsidRPr="00DE1A26">
        <w:rPr>
          <w:rFonts w:cs="Arial"/>
        </w:rPr>
        <w:t>SÚRAO k uložení po roce 2065. Provozované skladovací kapacity pro VJP ze stávajících bloků EDU jsou dostatečné pro 45 let provozu. V případě provozovaných bloků ETE 1 a 2 pokrývá kapacita skladu zhruba 30letý provoz. Pro uvažovanou do</w:t>
      </w:r>
      <w:r w:rsidR="00C32F0D">
        <w:rPr>
          <w:rFonts w:cs="Arial"/>
        </w:rPr>
        <w:t>bu provozu v základní variantě 5</w:t>
      </w:r>
      <w:r w:rsidRPr="00DE1A26">
        <w:rPr>
          <w:rFonts w:cs="Arial"/>
        </w:rPr>
        <w:t xml:space="preserve">0 let bude nutné vybudovat dodatečnou </w:t>
      </w:r>
      <w:r w:rsidRPr="00DE1A26">
        <w:rPr>
          <w:rFonts w:cs="Arial"/>
        </w:rPr>
        <w:lastRenderedPageBreak/>
        <w:t xml:space="preserve">skladovací kapacitu. </w:t>
      </w:r>
      <w:r w:rsidR="00C32F0D">
        <w:rPr>
          <w:rFonts w:cs="Arial"/>
        </w:rPr>
        <w:t>Pro</w:t>
      </w:r>
      <w:r w:rsidRPr="00DE1A26">
        <w:rPr>
          <w:rFonts w:cs="Arial"/>
        </w:rPr>
        <w:t xml:space="preserve"> prodloužení provozu </w:t>
      </w:r>
      <w:r w:rsidR="00C32F0D">
        <w:rPr>
          <w:rFonts w:cs="Arial"/>
        </w:rPr>
        <w:t>na plánovaných</w:t>
      </w:r>
      <w:r w:rsidRPr="00DE1A26">
        <w:rPr>
          <w:rFonts w:cs="Arial"/>
        </w:rPr>
        <w:t xml:space="preserve"> </w:t>
      </w:r>
      <w:r w:rsidR="00C32F0D">
        <w:rPr>
          <w:rFonts w:cs="Arial"/>
        </w:rPr>
        <w:t xml:space="preserve">50 </w:t>
      </w:r>
      <w:r w:rsidRPr="00DE1A26">
        <w:rPr>
          <w:rFonts w:cs="Arial"/>
        </w:rPr>
        <w:t xml:space="preserve">let bude nutné rozšířit skladovací kapacitu i pro stávající bloky EDU. </w:t>
      </w:r>
      <w:proofErr w:type="gramStart"/>
      <w:r w:rsidRPr="00DE1A26">
        <w:rPr>
          <w:rFonts w:cs="Arial"/>
        </w:rPr>
        <w:t>V případě</w:t>
      </w:r>
      <w:proofErr w:type="gramEnd"/>
      <w:r w:rsidRPr="00DE1A26">
        <w:rPr>
          <w:rFonts w:cs="Arial"/>
        </w:rPr>
        <w:t xml:space="preserve"> 60letého provozu stávajících bloků by bylo nutné pro ně zajistit další skladovací kapacity v objemu zhruba 1 580 t </w:t>
      </w:r>
      <w:proofErr w:type="gramStart"/>
      <w:r w:rsidRPr="00DE1A26">
        <w:rPr>
          <w:rFonts w:cs="Arial"/>
        </w:rPr>
        <w:t>TK.</w:t>
      </w:r>
      <w:proofErr w:type="gramEnd"/>
      <w:r w:rsidRPr="00DE1A26">
        <w:rPr>
          <w:rFonts w:cs="Arial"/>
        </w:rPr>
        <w:t xml:space="preserve"> </w:t>
      </w:r>
    </w:p>
    <w:p w:rsidR="00520416" w:rsidRPr="00DE1A26" w:rsidRDefault="00520416" w:rsidP="00C931E9">
      <w:pPr>
        <w:jc w:val="both"/>
        <w:rPr>
          <w:rFonts w:cs="Arial"/>
        </w:rPr>
      </w:pPr>
      <w:r w:rsidRPr="00DE1A26">
        <w:rPr>
          <w:rFonts w:cs="Arial"/>
        </w:rPr>
        <w:t>V aktualizovaném referenčním projektu z roku 2011 je hlubinné úložiště navrženo tak, aby do jeho prostor bylo možné uložit VJP z provozovaných JE, tj. 4 bloků JE Dukovany, 2 bloků JE Temelín a plánovaných nových jaderných zdrojů (2 bloky NJZ Temelín a 1 blok NJZ Dukovany). Do hlubinného úložiště se předpokládá uložení i RAO z vyřazování stávajících JE i plánovaných NJZ a další RAO, které není možné uložit do přípovrchových úložišť.</w:t>
      </w:r>
      <w:r w:rsidR="005F35F5">
        <w:rPr>
          <w:rFonts w:cs="Arial"/>
        </w:rPr>
        <w:t xml:space="preserve"> </w:t>
      </w:r>
      <w:r w:rsidRPr="00DE1A26">
        <w:rPr>
          <w:rFonts w:cs="Arial"/>
        </w:rPr>
        <w:t>Vlastní výběr lokality proběhne v několika fázích (etapách) postupného zužování počtu a plošného rozsahu lokalit. V první etapě výběru budou revidována dostupná data a proveden povrchový geologický průzkum bez prací se zásahem do pozemků. Výsledkem této etapy bude zúžení počtu potenciálně vhodných lokalit, kde budou v následující etapě prováděna detailní geofyzikální, geochemická, hydrogeologická a geotechnická měření s využitím hlubokých vrtů (2–4 vrty do hloubky 500 m a 1–2 vrty do hloubky 1 000 m). Vhodnost minimálně dvou finálně vybraných lokalit bude prokázána dokumenty v rozsahu zadávací bezpečnostní zprávy, které na koncepční úrovni argumentačně potvrdí provozní a dlouhodobou bezpečnost úložiště a studiemi proveditelnosti a dopadu umístění úložiště na životní prostředí. Systematické posuzování všech potenciálních lokalit pro umístění hlubinného úložiště bude prováděno ve všech etapách podle následujících kritérií:</w:t>
      </w:r>
    </w:p>
    <w:p w:rsidR="00520416" w:rsidRPr="00DE1A26" w:rsidRDefault="00520416" w:rsidP="0044189F">
      <w:pPr>
        <w:numPr>
          <w:ilvl w:val="0"/>
          <w:numId w:val="29"/>
        </w:numPr>
        <w:spacing w:after="0"/>
        <w:ind w:left="1423" w:hanging="357"/>
        <w:jc w:val="both"/>
        <w:rPr>
          <w:rFonts w:cs="Arial"/>
        </w:rPr>
      </w:pPr>
      <w:r w:rsidRPr="00DE1A26">
        <w:rPr>
          <w:rFonts w:cs="Arial"/>
        </w:rPr>
        <w:t>Bezpečnostní kritéria</w:t>
      </w:r>
    </w:p>
    <w:p w:rsidR="00520416" w:rsidRPr="00DE1A26" w:rsidRDefault="00520416" w:rsidP="0044189F">
      <w:pPr>
        <w:numPr>
          <w:ilvl w:val="0"/>
          <w:numId w:val="29"/>
        </w:numPr>
        <w:spacing w:after="0"/>
        <w:ind w:left="1423" w:hanging="357"/>
        <w:jc w:val="both"/>
        <w:rPr>
          <w:rFonts w:cs="Arial"/>
        </w:rPr>
      </w:pPr>
      <w:r w:rsidRPr="00DE1A26">
        <w:rPr>
          <w:rFonts w:cs="Arial"/>
        </w:rPr>
        <w:t>Projektová kritéria</w:t>
      </w:r>
    </w:p>
    <w:p w:rsidR="00520416" w:rsidRPr="00DE1A26" w:rsidRDefault="00520416" w:rsidP="0044189F">
      <w:pPr>
        <w:numPr>
          <w:ilvl w:val="0"/>
          <w:numId w:val="29"/>
        </w:numPr>
        <w:spacing w:after="0"/>
        <w:ind w:left="1423" w:hanging="357"/>
        <w:jc w:val="both"/>
        <w:rPr>
          <w:rFonts w:cs="Arial"/>
        </w:rPr>
      </w:pPr>
      <w:r w:rsidRPr="00DE1A26">
        <w:rPr>
          <w:rFonts w:cs="Arial"/>
        </w:rPr>
        <w:t>Environmentální kritéria</w:t>
      </w:r>
    </w:p>
    <w:p w:rsidR="00520416" w:rsidRDefault="00583A76" w:rsidP="00EA0E7A">
      <w:pPr>
        <w:numPr>
          <w:ilvl w:val="0"/>
          <w:numId w:val="29"/>
        </w:numPr>
        <w:spacing w:after="240"/>
        <w:ind w:left="1423" w:hanging="357"/>
        <w:jc w:val="both"/>
        <w:rPr>
          <w:rFonts w:cs="Arial"/>
        </w:rPr>
      </w:pPr>
      <w:r>
        <w:rPr>
          <w:rFonts w:cs="Arial"/>
        </w:rPr>
        <w:t>Socio</w:t>
      </w:r>
      <w:r w:rsidR="00520416" w:rsidRPr="00DE1A26">
        <w:rPr>
          <w:rFonts w:cs="Arial"/>
        </w:rPr>
        <w:t>ekonomická kritéria</w:t>
      </w:r>
    </w:p>
    <w:p w:rsidR="00520416" w:rsidRPr="00DE1A26" w:rsidRDefault="00520416" w:rsidP="00AE2E6B">
      <w:pPr>
        <w:jc w:val="both"/>
      </w:pPr>
      <w:r w:rsidRPr="00DE1A26">
        <w:rPr>
          <w:rFonts w:cs="Arial"/>
        </w:rPr>
        <w:t>Ve všech etapách přípravy hlubinného úložiště se počítá se zapojením dotčených obcí a dalších subjektů do procesu rozhodování o výběru dané lokality.</w:t>
      </w:r>
      <w:r w:rsidRPr="00DE1A26">
        <w:t xml:space="preserve"> </w:t>
      </w:r>
    </w:p>
    <w:p w:rsidR="00520416" w:rsidRPr="00E21156" w:rsidRDefault="00520416" w:rsidP="00AE2E6B">
      <w:pPr>
        <w:pStyle w:val="Nadpis3"/>
      </w:pPr>
      <w:bookmarkStart w:id="84" w:name="_Toc349044074"/>
      <w:bookmarkStart w:id="85" w:name="_Toc407035552"/>
      <w:bookmarkStart w:id="86" w:name="_Toc420056002"/>
      <w:r w:rsidRPr="00E21156">
        <w:t>Odpady z provozu a vyřazování jaderných elektráren</w:t>
      </w:r>
      <w:bookmarkEnd w:id="84"/>
      <w:bookmarkEnd w:id="85"/>
      <w:bookmarkEnd w:id="86"/>
    </w:p>
    <w:p w:rsidR="00E963D2" w:rsidRDefault="00520416" w:rsidP="00AE2E6B">
      <w:pPr>
        <w:jc w:val="both"/>
        <w:rPr>
          <w:rFonts w:cs="Arial"/>
        </w:rPr>
      </w:pPr>
      <w:r w:rsidRPr="00DE1A26">
        <w:rPr>
          <w:rFonts w:cs="Arial"/>
        </w:rPr>
        <w:t xml:space="preserve">Provozem jaderných elektráren a jejich vyřazováním z provozu vznikají odpady, které není možné uložit do přípovrchových úložišť. </w:t>
      </w:r>
      <w:proofErr w:type="gramStart"/>
      <w:r w:rsidRPr="00DE1A26">
        <w:rPr>
          <w:rFonts w:cs="Arial"/>
        </w:rPr>
        <w:t>Jde</w:t>
      </w:r>
      <w:proofErr w:type="gramEnd"/>
      <w:r w:rsidRPr="00DE1A26">
        <w:rPr>
          <w:rFonts w:cs="Arial"/>
        </w:rPr>
        <w:t xml:space="preserve"> o část aktivovaného materiálu skladovaného po celou dobu provozu na </w:t>
      </w:r>
      <w:proofErr w:type="gramStart"/>
      <w:r w:rsidRPr="00DE1A26">
        <w:rPr>
          <w:rFonts w:cs="Arial"/>
        </w:rPr>
        <w:t>JE</w:t>
      </w:r>
      <w:proofErr w:type="gramEnd"/>
      <w:r w:rsidRPr="00DE1A26">
        <w:rPr>
          <w:rFonts w:cs="Arial"/>
        </w:rPr>
        <w:t xml:space="preserve"> a určitou frakci odpadů z vyřazování (aktivovaná měřicí čidla</w:t>
      </w:r>
      <w:r w:rsidRPr="00DE1A26">
        <w:rPr>
          <w:rStyle w:val="Odkaznakoment"/>
          <w:rFonts w:cs="Arial"/>
          <w:sz w:val="22"/>
          <w:szCs w:val="22"/>
        </w:rPr>
        <w:t xml:space="preserve">, </w:t>
      </w:r>
      <w:r w:rsidRPr="00DE1A26">
        <w:rPr>
          <w:rFonts w:cs="Arial"/>
        </w:rPr>
        <w:t xml:space="preserve">termočlánky, kazety svědečných vzorků, absorbátory, návary tlakové nádoby, </w:t>
      </w:r>
      <w:proofErr w:type="spellStart"/>
      <w:r w:rsidRPr="00DE1A26">
        <w:rPr>
          <w:rFonts w:cs="Arial"/>
        </w:rPr>
        <w:t>vnitroreaktorové</w:t>
      </w:r>
      <w:proofErr w:type="spellEnd"/>
      <w:r w:rsidRPr="00DE1A26">
        <w:rPr>
          <w:rFonts w:cs="Arial"/>
        </w:rPr>
        <w:t xml:space="preserve"> části, </w:t>
      </w:r>
      <w:proofErr w:type="spellStart"/>
      <w:r w:rsidRPr="00DE1A26">
        <w:rPr>
          <w:rFonts w:cs="Arial"/>
        </w:rPr>
        <w:t>serpentinitové</w:t>
      </w:r>
      <w:proofErr w:type="spellEnd"/>
      <w:r w:rsidRPr="00DE1A26">
        <w:rPr>
          <w:rFonts w:cs="Arial"/>
        </w:rPr>
        <w:t xml:space="preserve"> betony a zásypy atd.)</w:t>
      </w:r>
      <w:r w:rsidR="005F35F5">
        <w:rPr>
          <w:rFonts w:cs="Arial"/>
        </w:rPr>
        <w:t xml:space="preserve"> T</w:t>
      </w:r>
      <w:r w:rsidRPr="00DE1A26">
        <w:rPr>
          <w:rFonts w:cs="Arial"/>
        </w:rPr>
        <w:t xml:space="preserve">yto odpady budou v rámci vyřazování jaderných zařízení upraveny tak, aby mohly být přijaty do hlubinného úložiště. Pro jejich uložení byly navrženy betonové obalové soubory s vnějším a vnitřním ocelovým pláštěm (tzv. </w:t>
      </w:r>
      <w:proofErr w:type="spellStart"/>
      <w:r w:rsidRPr="00DE1A26">
        <w:rPr>
          <w:rFonts w:cs="Arial"/>
        </w:rPr>
        <w:t>betonkontejnery</w:t>
      </w:r>
      <w:proofErr w:type="spellEnd"/>
      <w:r w:rsidRPr="00DE1A26">
        <w:rPr>
          <w:rFonts w:cs="Arial"/>
        </w:rPr>
        <w:t xml:space="preserve">). Další výzkum a vývoj obalových souborů bude probíhat iterativně ve spolupráci SÚRAO a původců. Souběžně </w:t>
      </w:r>
      <w:r w:rsidR="005F35F5">
        <w:rPr>
          <w:rFonts w:cs="Arial"/>
        </w:rPr>
        <w:t>s návrhem obalových souborů budou</w:t>
      </w:r>
      <w:r w:rsidRPr="00DE1A26">
        <w:rPr>
          <w:rFonts w:cs="Arial"/>
        </w:rPr>
        <w:t xml:space="preserve"> </w:t>
      </w:r>
      <w:r w:rsidR="005F35F5">
        <w:rPr>
          <w:rFonts w:cs="Arial"/>
        </w:rPr>
        <w:t xml:space="preserve">navrženy </w:t>
      </w:r>
      <w:r w:rsidRPr="00DE1A26">
        <w:rPr>
          <w:rFonts w:cs="Arial"/>
        </w:rPr>
        <w:t>dopravní a manipulační systémy umožňující jejich převzetí, kontrolu a uložení ve vyhrazených prostorách</w:t>
      </w:r>
      <w:r w:rsidR="005F35F5">
        <w:rPr>
          <w:rFonts w:cs="Arial"/>
        </w:rPr>
        <w:t>.</w:t>
      </w:r>
      <w:r w:rsidRPr="00DE1A26">
        <w:rPr>
          <w:rFonts w:cs="Arial"/>
        </w:rPr>
        <w:t xml:space="preserve"> </w:t>
      </w:r>
    </w:p>
    <w:p w:rsidR="00E963D2" w:rsidRDefault="00E963D2">
      <w:pPr>
        <w:rPr>
          <w:rFonts w:cs="Arial"/>
        </w:rPr>
      </w:pPr>
      <w:r>
        <w:rPr>
          <w:rFonts w:cs="Arial"/>
        </w:rPr>
        <w:br w:type="page"/>
      </w:r>
    </w:p>
    <w:p w:rsidR="00520416" w:rsidRPr="00E21156" w:rsidRDefault="005F35F5" w:rsidP="00AE2E6B">
      <w:pPr>
        <w:pStyle w:val="Nadpis3"/>
      </w:pPr>
      <w:bookmarkStart w:id="87" w:name="_Toc407035553"/>
      <w:bookmarkStart w:id="88" w:name="_Toc420056003"/>
      <w:r w:rsidRPr="005F35F5">
        <w:lastRenderedPageBreak/>
        <w:t>Financování ukládání RAO</w:t>
      </w:r>
      <w:bookmarkEnd w:id="87"/>
      <w:bookmarkEnd w:id="88"/>
    </w:p>
    <w:p w:rsidR="00F3643D" w:rsidRPr="00F3643D" w:rsidRDefault="00520416" w:rsidP="00AE2E6B">
      <w:pPr>
        <w:jc w:val="both"/>
        <w:rPr>
          <w:rFonts w:cs="Arial"/>
        </w:rPr>
      </w:pPr>
      <w:r w:rsidRPr="00DE1A26">
        <w:rPr>
          <w:rFonts w:cs="Arial"/>
        </w:rPr>
        <w:t>K zajištění finančního krytí všech aktivit souvisejících s ukládáním RAO a v budoucnu i VJP byl na základě atomového zákona založen jaderný účet.</w:t>
      </w:r>
      <w:r w:rsidR="005F35F5">
        <w:rPr>
          <w:rFonts w:cs="Arial"/>
        </w:rPr>
        <w:t xml:space="preserve"> </w:t>
      </w:r>
      <w:r w:rsidRPr="00DE1A26">
        <w:rPr>
          <w:rFonts w:cs="Arial"/>
        </w:rPr>
        <w:t xml:space="preserve">Je zřízen u </w:t>
      </w:r>
      <w:r w:rsidR="00AF63EB">
        <w:rPr>
          <w:rFonts w:cs="Arial"/>
        </w:rPr>
        <w:t>České národní banky</w:t>
      </w:r>
      <w:r w:rsidRPr="00DE1A26">
        <w:rPr>
          <w:rFonts w:cs="Arial"/>
        </w:rPr>
        <w:t xml:space="preserve"> a jeho správu zajišťuje MF ČR. Prostředky shromážděné na jaderném účtu mohou být použity výhradně prostřednictvím SÚRAO na plnění úkolů vymezených v atomovém zákoně a zahrnutých v plánu práce SÚRAO na příslušný rok. Finanční prostředky jsou získávány z několika zdrojů</w:t>
      </w:r>
      <w:r w:rsidR="00F3643D">
        <w:rPr>
          <w:rFonts w:cs="Arial"/>
        </w:rPr>
        <w:t xml:space="preserve">. </w:t>
      </w:r>
    </w:p>
    <w:p w:rsidR="00F3643D" w:rsidRDefault="00520416" w:rsidP="00AE2E6B">
      <w:pPr>
        <w:jc w:val="both"/>
        <w:rPr>
          <w:rFonts w:cs="Arial"/>
        </w:rPr>
      </w:pPr>
      <w:r w:rsidRPr="00DE1A26">
        <w:rPr>
          <w:rFonts w:cs="Arial"/>
        </w:rPr>
        <w:t>Hospodaření s prostředky jaderného účtu je prováděno na základě vládou schváleného plánu práce, výši a způsob odvodů stanovuje vláda svými nařízeními.</w:t>
      </w:r>
      <w:r w:rsidR="00F3643D">
        <w:rPr>
          <w:rFonts w:cs="Arial"/>
        </w:rPr>
        <w:t xml:space="preserve"> </w:t>
      </w:r>
      <w:r w:rsidRPr="00DE1A26">
        <w:rPr>
          <w:rFonts w:cs="Arial"/>
        </w:rPr>
        <w:t>SÚRAO zajišťuje správu odvodů na jaderný účet a vypracovává podklady pro jejich stanovení. Hodnota majetku jaderného účtu k</w:t>
      </w:r>
      <w:r w:rsidR="00583A76">
        <w:rPr>
          <w:rFonts w:cs="Arial"/>
        </w:rPr>
        <w:t> 31. 12. 2014 činí</w:t>
      </w:r>
      <w:r w:rsidRPr="00DE1A26">
        <w:rPr>
          <w:rFonts w:cs="Arial"/>
        </w:rPr>
        <w:t xml:space="preserve"> </w:t>
      </w:r>
      <w:r w:rsidR="00583A76">
        <w:rPr>
          <w:rFonts w:cs="Arial"/>
        </w:rPr>
        <w:t xml:space="preserve">22,7 </w:t>
      </w:r>
      <w:r w:rsidRPr="00DE1A26">
        <w:rPr>
          <w:rFonts w:cs="Arial"/>
        </w:rPr>
        <w:t>mld. Kč.</w:t>
      </w:r>
      <w:r w:rsidR="00F3643D">
        <w:rPr>
          <w:rFonts w:cs="Arial"/>
        </w:rPr>
        <w:t xml:space="preserve"> </w:t>
      </w:r>
      <w:r w:rsidRPr="00DE1A26">
        <w:rPr>
          <w:rFonts w:cs="Arial"/>
        </w:rPr>
        <w:t>Podstatná část plateb na jaderný účet má pokrýt náklady na činnosti, které budou probíhat v budoucnosti. Metodika pro stanovení výše odvodů vychází ze stávajících cenových relací a bere v úvahu známé odhady nákladů, rizika i další relevantní faktory (např. očekávaný vývoj národního hospodářství, úrokové míry, inflaci) a respektuje koncepci nakládání s RAO a VJP. Tvorba prostředků jaderného účtu je v přiměřených, nejdéle pětiletých intervalech porovnávána s očekávanými budoucími výdaji a v případě významnějších odchylek je upraveno příslušné nařízení vlády.</w:t>
      </w:r>
      <w:bookmarkStart w:id="89" w:name="_Toc477662036"/>
      <w:bookmarkStart w:id="90" w:name="_Toc507315822"/>
      <w:bookmarkStart w:id="91" w:name="_Toc517173843"/>
      <w:bookmarkStart w:id="92" w:name="_Toc517174021"/>
      <w:bookmarkStart w:id="93" w:name="_Toc517174131"/>
      <w:bookmarkStart w:id="94" w:name="_Toc345974008"/>
      <w:bookmarkStart w:id="95" w:name="_Toc349044099"/>
      <w:bookmarkStart w:id="96" w:name="_Toc358623837"/>
      <w:bookmarkStart w:id="97" w:name="_Toc394418987"/>
    </w:p>
    <w:p w:rsidR="00520416" w:rsidRPr="003A1870" w:rsidRDefault="00520416" w:rsidP="003A1870">
      <w:pPr>
        <w:rPr>
          <w:u w:val="single"/>
        </w:rPr>
      </w:pPr>
      <w:r w:rsidRPr="003A1870">
        <w:rPr>
          <w:u w:val="single"/>
        </w:rPr>
        <w:t>Náklady na ukládání odpadů do přípovrchových úložišť</w:t>
      </w:r>
      <w:bookmarkEnd w:id="89"/>
      <w:bookmarkEnd w:id="90"/>
      <w:bookmarkEnd w:id="91"/>
      <w:bookmarkEnd w:id="92"/>
      <w:bookmarkEnd w:id="93"/>
      <w:bookmarkEnd w:id="94"/>
      <w:bookmarkEnd w:id="95"/>
      <w:bookmarkEnd w:id="96"/>
      <w:bookmarkEnd w:id="97"/>
    </w:p>
    <w:p w:rsidR="00520416" w:rsidRPr="00DE1A26" w:rsidRDefault="00520416" w:rsidP="00AE2E6B">
      <w:pPr>
        <w:jc w:val="both"/>
        <w:rPr>
          <w:rFonts w:cs="Arial"/>
        </w:rPr>
      </w:pPr>
      <w:r w:rsidRPr="00DE1A26">
        <w:rPr>
          <w:rFonts w:cs="Arial"/>
        </w:rPr>
        <w:t>Náklady na provoz a uzavření existujících úložišť jsou hrazeny z prostředků jaderného účtu, na který jednotliví původci ukládaných radioaktivních odpadů odvádějí finanční prostředky podle charakteru a množství ukládaného odpadu. Odvody pro úhradu těchto nákladů jsou stanoveny podle příslušné metodiky a uvedeny v aktuálním nařízení vlády formou jednorázových či periodických odvodů. Úložiště radioaktivních odpadů jsou v provozu již několik desítek let a před nabytím platnosti atomového zákona nebyly vytvářeny rezervní prostředky na budoucí nákladově významné položky (především ukončení provozu a uzavření úložišť). Proto stát poskytuje prostředky na nakládání s těmito RAO. Břemeno státu zahrnuje především tyto položky:</w:t>
      </w:r>
    </w:p>
    <w:p w:rsidR="00520416" w:rsidRPr="00DE1A26" w:rsidRDefault="00520416" w:rsidP="0044189F">
      <w:pPr>
        <w:widowControl w:val="0"/>
        <w:numPr>
          <w:ilvl w:val="0"/>
          <w:numId w:val="30"/>
        </w:numPr>
        <w:autoSpaceDE w:val="0"/>
        <w:autoSpaceDN w:val="0"/>
        <w:adjustRightInd w:val="0"/>
        <w:spacing w:after="0"/>
        <w:jc w:val="both"/>
        <w:rPr>
          <w:rFonts w:cs="Arial"/>
        </w:rPr>
      </w:pPr>
      <w:r w:rsidRPr="00DE1A26">
        <w:rPr>
          <w:rFonts w:cs="Arial"/>
        </w:rPr>
        <w:t>údržba důlních děl a opravy technologického zařízení;</w:t>
      </w:r>
    </w:p>
    <w:p w:rsidR="00520416" w:rsidRPr="00DE1A26" w:rsidRDefault="00520416" w:rsidP="0044189F">
      <w:pPr>
        <w:widowControl w:val="0"/>
        <w:numPr>
          <w:ilvl w:val="0"/>
          <w:numId w:val="30"/>
        </w:numPr>
        <w:autoSpaceDE w:val="0"/>
        <w:autoSpaceDN w:val="0"/>
        <w:adjustRightInd w:val="0"/>
        <w:spacing w:after="0"/>
        <w:jc w:val="both"/>
        <w:rPr>
          <w:rFonts w:cs="Arial"/>
        </w:rPr>
      </w:pPr>
      <w:r w:rsidRPr="00DE1A26">
        <w:rPr>
          <w:rFonts w:cs="Arial"/>
        </w:rPr>
        <w:t>monitorování vlivů na životní prostředí, a to jak při provozu úložišť, tak po jeho ukončení;</w:t>
      </w:r>
    </w:p>
    <w:p w:rsidR="00520416" w:rsidRPr="00DE1A26" w:rsidRDefault="00520416" w:rsidP="0044189F">
      <w:pPr>
        <w:widowControl w:val="0"/>
        <w:numPr>
          <w:ilvl w:val="0"/>
          <w:numId w:val="30"/>
        </w:numPr>
        <w:autoSpaceDE w:val="0"/>
        <w:autoSpaceDN w:val="0"/>
        <w:adjustRightInd w:val="0"/>
        <w:ind w:left="714" w:hanging="357"/>
        <w:jc w:val="both"/>
        <w:rPr>
          <w:rFonts w:cs="Arial"/>
        </w:rPr>
      </w:pPr>
      <w:r w:rsidRPr="00DE1A26">
        <w:rPr>
          <w:rFonts w:cs="Arial"/>
        </w:rPr>
        <w:t>příprava na ukončení provozu úložišť – vývoj technologie utěsnění úložných komor a uzavření částí úložišť.</w:t>
      </w:r>
    </w:p>
    <w:p w:rsidR="00E963D2" w:rsidRDefault="00520416" w:rsidP="00AE2E6B">
      <w:pPr>
        <w:jc w:val="both"/>
        <w:rPr>
          <w:rFonts w:cs="Arial"/>
        </w:rPr>
      </w:pPr>
      <w:r w:rsidRPr="00DE1A26">
        <w:rPr>
          <w:rFonts w:cs="Arial"/>
        </w:rPr>
        <w:t>Náklady na provoz úložišť nízko a středněaktivních odpadů (Dukovany, Richard, Bratrství) činí ročně 50–60 mil. Kč. Pokrývají zejména ukládací činnosti, údržbu pozemků, stavebních objektů, technologického zařízení a podzemních prostor (Richard a Bratrství), zajištění radiační ochrany, fyzické ochrany, požární bezpečnosti, technické bezpečnosti, havarijní připravenosti a monitorování vlivů na životní prostředí. Zahrnují i režijní náklady SÚRAO a příspěvky obcím, na jejichž katastru jsou úložiště provozována.</w:t>
      </w:r>
      <w:r w:rsidR="00F3643D">
        <w:rPr>
          <w:rFonts w:cs="Arial"/>
        </w:rPr>
        <w:t xml:space="preserve"> </w:t>
      </w:r>
      <w:r w:rsidRPr="00DE1A26">
        <w:rPr>
          <w:rFonts w:cs="Arial"/>
        </w:rPr>
        <w:t>Odhadované souhrnné náklady na ukládání krátkodobých nízko</w:t>
      </w:r>
      <w:r w:rsidR="004B0C04">
        <w:rPr>
          <w:rFonts w:cs="Arial"/>
        </w:rPr>
        <w:t>aktivních</w:t>
      </w:r>
      <w:r w:rsidRPr="00DE1A26">
        <w:rPr>
          <w:rFonts w:cs="Arial"/>
        </w:rPr>
        <w:t xml:space="preserve"> a středněaktivních odpadů v období do roku 2050 jsou uvedeny v tabulce </w:t>
      </w:r>
      <w:r w:rsidR="003A1870">
        <w:rPr>
          <w:rFonts w:cs="Arial"/>
        </w:rPr>
        <w:t>4</w:t>
      </w:r>
      <w:r w:rsidRPr="00DE1A26">
        <w:rPr>
          <w:rFonts w:cs="Arial"/>
        </w:rPr>
        <w:t xml:space="preserve"> (mil. Kč v cenách roku 2013).</w:t>
      </w:r>
    </w:p>
    <w:p w:rsidR="00E963D2" w:rsidRDefault="00E963D2">
      <w:pPr>
        <w:rPr>
          <w:rFonts w:cs="Arial"/>
        </w:rPr>
      </w:pPr>
      <w:r>
        <w:rPr>
          <w:rFonts w:cs="Arial"/>
        </w:rPr>
        <w:br w:type="page"/>
      </w:r>
    </w:p>
    <w:p w:rsidR="00C223D0" w:rsidRDefault="00C223D0" w:rsidP="00C223D0">
      <w:pPr>
        <w:pStyle w:val="Titulek"/>
        <w:keepNext/>
      </w:pPr>
      <w:bookmarkStart w:id="98" w:name="_Toc420058308"/>
      <w:r w:rsidRPr="00C223D0">
        <w:rPr>
          <w:rFonts w:cs="Arial"/>
          <w:color w:val="auto"/>
          <w:sz w:val="22"/>
          <w:szCs w:val="22"/>
        </w:rPr>
        <w:lastRenderedPageBreak/>
        <w:t xml:space="preserve">Tabulka č. </w:t>
      </w:r>
      <w:r w:rsidRPr="00C223D0">
        <w:rPr>
          <w:rFonts w:cs="Arial"/>
          <w:color w:val="auto"/>
          <w:sz w:val="22"/>
          <w:szCs w:val="22"/>
        </w:rPr>
        <w:fldChar w:fldCharType="begin"/>
      </w:r>
      <w:r w:rsidRPr="00C223D0">
        <w:rPr>
          <w:rFonts w:cs="Arial"/>
          <w:color w:val="auto"/>
          <w:sz w:val="22"/>
          <w:szCs w:val="22"/>
        </w:rPr>
        <w:instrText xml:space="preserve"> SEQ Tabulka_č. \* ARABIC </w:instrText>
      </w:r>
      <w:r w:rsidRPr="00C223D0">
        <w:rPr>
          <w:rFonts w:cs="Arial"/>
          <w:color w:val="auto"/>
          <w:sz w:val="22"/>
          <w:szCs w:val="22"/>
        </w:rPr>
        <w:fldChar w:fldCharType="separate"/>
      </w:r>
      <w:r w:rsidR="00FE1E1A">
        <w:rPr>
          <w:rFonts w:cs="Arial"/>
          <w:noProof/>
          <w:color w:val="auto"/>
          <w:sz w:val="22"/>
          <w:szCs w:val="22"/>
        </w:rPr>
        <w:t>4</w:t>
      </w:r>
      <w:r w:rsidRPr="00C223D0">
        <w:rPr>
          <w:rFonts w:cs="Arial"/>
          <w:color w:val="auto"/>
          <w:sz w:val="22"/>
          <w:szCs w:val="22"/>
        </w:rPr>
        <w:fldChar w:fldCharType="end"/>
      </w:r>
      <w:r w:rsidRPr="00C223D0">
        <w:rPr>
          <w:rFonts w:cs="Arial"/>
          <w:color w:val="auto"/>
          <w:sz w:val="22"/>
          <w:szCs w:val="22"/>
        </w:rPr>
        <w:t xml:space="preserve">: </w:t>
      </w:r>
      <w:r w:rsidRPr="00C223D0">
        <w:rPr>
          <w:rFonts w:cs="Arial"/>
          <w:b w:val="0"/>
          <w:i/>
          <w:color w:val="auto"/>
          <w:sz w:val="22"/>
          <w:szCs w:val="22"/>
        </w:rPr>
        <w:t>Přehled nákladů na ukládání nízko a středněaktivních odpadů</w:t>
      </w:r>
      <w:bookmarkEnd w:id="9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8"/>
        <w:gridCol w:w="1985"/>
      </w:tblGrid>
      <w:tr w:rsidR="005865D5" w:rsidRPr="00F3643D" w:rsidTr="00491ABA">
        <w:trPr>
          <w:jc w:val="center"/>
        </w:trPr>
        <w:tc>
          <w:tcPr>
            <w:tcW w:w="4818" w:type="dxa"/>
            <w:tcBorders>
              <w:top w:val="single" w:sz="12" w:space="0" w:color="auto"/>
              <w:bottom w:val="single" w:sz="12" w:space="0" w:color="auto"/>
              <w:right w:val="single" w:sz="8" w:space="0" w:color="auto"/>
            </w:tcBorders>
            <w:shd w:val="clear" w:color="auto" w:fill="B8CCE4" w:themeFill="accent1" w:themeFillTint="66"/>
            <w:vAlign w:val="center"/>
          </w:tcPr>
          <w:p w:rsidR="005865D5" w:rsidRPr="005865D5" w:rsidRDefault="005865D5" w:rsidP="005865D5">
            <w:pPr>
              <w:spacing w:after="0"/>
              <w:rPr>
                <w:rFonts w:cs="Arial"/>
                <w:b/>
              </w:rPr>
            </w:pPr>
            <w:r w:rsidRPr="005865D5">
              <w:rPr>
                <w:rFonts w:cs="Arial"/>
                <w:b/>
              </w:rPr>
              <w:t>Druh nákladu</w:t>
            </w:r>
          </w:p>
        </w:tc>
        <w:tc>
          <w:tcPr>
            <w:tcW w:w="1985" w:type="dxa"/>
            <w:tcBorders>
              <w:top w:val="single" w:sz="12" w:space="0" w:color="auto"/>
              <w:left w:val="single" w:sz="8" w:space="0" w:color="auto"/>
              <w:bottom w:val="single" w:sz="12" w:space="0" w:color="auto"/>
            </w:tcBorders>
            <w:shd w:val="clear" w:color="auto" w:fill="B8CCE4" w:themeFill="accent1" w:themeFillTint="66"/>
            <w:vAlign w:val="center"/>
          </w:tcPr>
          <w:p w:rsidR="005865D5" w:rsidRPr="009A2BE8" w:rsidRDefault="005865D5" w:rsidP="005865D5">
            <w:pPr>
              <w:spacing w:after="0"/>
              <w:jc w:val="center"/>
              <w:rPr>
                <w:rFonts w:cs="Arial"/>
                <w:b/>
              </w:rPr>
            </w:pPr>
            <w:r w:rsidRPr="005865D5">
              <w:rPr>
                <w:rFonts w:cs="Arial"/>
                <w:b/>
              </w:rPr>
              <w:t>Částka</w:t>
            </w:r>
            <w:r w:rsidR="009A2BE8">
              <w:rPr>
                <w:rFonts w:cs="Arial"/>
                <w:b/>
              </w:rPr>
              <w:t xml:space="preserve"> </w:t>
            </w:r>
            <w:r w:rsidR="009A2BE8">
              <w:rPr>
                <w:rFonts w:cs="Arial"/>
                <w:b/>
                <w:lang w:val="en-US"/>
              </w:rPr>
              <w:t xml:space="preserve">[mil. </w:t>
            </w:r>
            <w:proofErr w:type="spellStart"/>
            <w:r w:rsidR="009A2BE8">
              <w:rPr>
                <w:rFonts w:cs="Arial"/>
                <w:b/>
                <w:lang w:val="en-US"/>
              </w:rPr>
              <w:t>Kč</w:t>
            </w:r>
            <w:proofErr w:type="spellEnd"/>
            <w:r w:rsidR="009A2BE8">
              <w:rPr>
                <w:rFonts w:cs="Arial"/>
                <w:b/>
                <w:lang w:val="en-US"/>
              </w:rPr>
              <w:t>]</w:t>
            </w:r>
          </w:p>
        </w:tc>
      </w:tr>
      <w:tr w:rsidR="00520416" w:rsidRPr="00F3643D" w:rsidTr="00491ABA">
        <w:trPr>
          <w:jc w:val="center"/>
        </w:trPr>
        <w:tc>
          <w:tcPr>
            <w:tcW w:w="4818" w:type="dxa"/>
            <w:tcBorders>
              <w:top w:val="single" w:sz="12" w:space="0" w:color="auto"/>
              <w:bottom w:val="dotted" w:sz="4" w:space="0" w:color="808080" w:themeColor="background1" w:themeShade="80"/>
              <w:right w:val="single" w:sz="8" w:space="0" w:color="auto"/>
            </w:tcBorders>
            <w:vAlign w:val="center"/>
          </w:tcPr>
          <w:p w:rsidR="00520416" w:rsidRPr="00F3643D" w:rsidRDefault="00520416" w:rsidP="005865D5">
            <w:pPr>
              <w:spacing w:after="0"/>
              <w:rPr>
                <w:rFonts w:cs="Arial"/>
              </w:rPr>
            </w:pPr>
            <w:r w:rsidRPr="00F3643D">
              <w:rPr>
                <w:rFonts w:cs="Arial"/>
              </w:rPr>
              <w:t>Provoz úložišť</w:t>
            </w:r>
          </w:p>
        </w:tc>
        <w:tc>
          <w:tcPr>
            <w:tcW w:w="1985" w:type="dxa"/>
            <w:tcBorders>
              <w:top w:val="single" w:sz="12" w:space="0" w:color="auto"/>
              <w:left w:val="single" w:sz="8" w:space="0" w:color="auto"/>
              <w:bottom w:val="dotted" w:sz="4" w:space="0" w:color="808080" w:themeColor="background1" w:themeShade="80"/>
            </w:tcBorders>
            <w:vAlign w:val="center"/>
          </w:tcPr>
          <w:p w:rsidR="00520416" w:rsidRPr="00F3643D" w:rsidRDefault="00520416" w:rsidP="005865D5">
            <w:pPr>
              <w:spacing w:after="0"/>
              <w:jc w:val="center"/>
              <w:rPr>
                <w:rFonts w:cs="Arial"/>
              </w:rPr>
            </w:pPr>
            <w:r w:rsidRPr="00F3643D">
              <w:rPr>
                <w:rFonts w:cs="Arial"/>
              </w:rPr>
              <w:t>2 100</w:t>
            </w:r>
          </w:p>
        </w:tc>
      </w:tr>
      <w:tr w:rsidR="00520416" w:rsidRPr="00DE1A26" w:rsidTr="00491ABA">
        <w:trPr>
          <w:jc w:val="center"/>
        </w:trPr>
        <w:tc>
          <w:tcPr>
            <w:tcW w:w="4818" w:type="dxa"/>
            <w:tcBorders>
              <w:top w:val="dotted" w:sz="4" w:space="0" w:color="808080" w:themeColor="background1" w:themeShade="80"/>
              <w:bottom w:val="dotted" w:sz="4" w:space="0" w:color="808080" w:themeColor="background1" w:themeShade="80"/>
              <w:right w:val="single" w:sz="8" w:space="0" w:color="auto"/>
            </w:tcBorders>
            <w:vAlign w:val="center"/>
          </w:tcPr>
          <w:p w:rsidR="00520416" w:rsidRPr="00DE1A26" w:rsidRDefault="00520416" w:rsidP="005865D5">
            <w:pPr>
              <w:spacing w:after="0"/>
              <w:rPr>
                <w:rFonts w:cs="Arial"/>
              </w:rPr>
            </w:pPr>
            <w:r w:rsidRPr="00DE1A26">
              <w:rPr>
                <w:rFonts w:cs="Arial"/>
              </w:rPr>
              <w:t>Výzkum a vývoj</w:t>
            </w:r>
          </w:p>
        </w:tc>
        <w:tc>
          <w:tcPr>
            <w:tcW w:w="1985" w:type="dxa"/>
            <w:tcBorders>
              <w:top w:val="dotted" w:sz="4" w:space="0" w:color="808080" w:themeColor="background1" w:themeShade="80"/>
              <w:left w:val="single" w:sz="8" w:space="0" w:color="auto"/>
              <w:bottom w:val="dotted" w:sz="4" w:space="0" w:color="808080" w:themeColor="background1" w:themeShade="80"/>
            </w:tcBorders>
            <w:vAlign w:val="center"/>
          </w:tcPr>
          <w:p w:rsidR="00520416" w:rsidRPr="00DE1A26" w:rsidRDefault="00520416" w:rsidP="005865D5">
            <w:pPr>
              <w:spacing w:after="0"/>
              <w:jc w:val="center"/>
              <w:rPr>
                <w:rFonts w:cs="Arial"/>
              </w:rPr>
            </w:pPr>
            <w:r w:rsidRPr="00DE1A26">
              <w:rPr>
                <w:rFonts w:cs="Arial"/>
              </w:rPr>
              <w:t>110</w:t>
            </w:r>
          </w:p>
        </w:tc>
      </w:tr>
      <w:tr w:rsidR="00520416" w:rsidRPr="00DE1A26" w:rsidTr="00491ABA">
        <w:trPr>
          <w:jc w:val="center"/>
        </w:trPr>
        <w:tc>
          <w:tcPr>
            <w:tcW w:w="4818" w:type="dxa"/>
            <w:tcBorders>
              <w:top w:val="dotted" w:sz="4" w:space="0" w:color="808080" w:themeColor="background1" w:themeShade="80"/>
              <w:bottom w:val="dotted" w:sz="4" w:space="0" w:color="808080" w:themeColor="background1" w:themeShade="80"/>
              <w:right w:val="single" w:sz="8" w:space="0" w:color="auto"/>
            </w:tcBorders>
            <w:vAlign w:val="center"/>
          </w:tcPr>
          <w:p w:rsidR="00520416" w:rsidRPr="00DE1A26" w:rsidRDefault="00520416" w:rsidP="005865D5">
            <w:pPr>
              <w:spacing w:after="0"/>
              <w:rPr>
                <w:rFonts w:cs="Arial"/>
              </w:rPr>
            </w:pPr>
            <w:r w:rsidRPr="00DE1A26">
              <w:rPr>
                <w:rFonts w:cs="Arial"/>
              </w:rPr>
              <w:t>Uzavření úložišť</w:t>
            </w:r>
          </w:p>
        </w:tc>
        <w:tc>
          <w:tcPr>
            <w:tcW w:w="1985" w:type="dxa"/>
            <w:tcBorders>
              <w:top w:val="dotted" w:sz="4" w:space="0" w:color="808080" w:themeColor="background1" w:themeShade="80"/>
              <w:left w:val="single" w:sz="8" w:space="0" w:color="auto"/>
              <w:bottom w:val="dotted" w:sz="4" w:space="0" w:color="808080" w:themeColor="background1" w:themeShade="80"/>
            </w:tcBorders>
            <w:vAlign w:val="center"/>
          </w:tcPr>
          <w:p w:rsidR="00520416" w:rsidRPr="00DE1A26" w:rsidRDefault="00520416" w:rsidP="005865D5">
            <w:pPr>
              <w:spacing w:after="0"/>
              <w:jc w:val="center"/>
              <w:rPr>
                <w:rFonts w:cs="Arial"/>
              </w:rPr>
            </w:pPr>
            <w:r w:rsidRPr="00DE1A26">
              <w:rPr>
                <w:rFonts w:cs="Arial"/>
              </w:rPr>
              <w:t>310</w:t>
            </w:r>
          </w:p>
        </w:tc>
      </w:tr>
      <w:tr w:rsidR="00520416" w:rsidRPr="00DE1A26" w:rsidTr="00491ABA">
        <w:trPr>
          <w:jc w:val="center"/>
        </w:trPr>
        <w:tc>
          <w:tcPr>
            <w:tcW w:w="4818" w:type="dxa"/>
            <w:tcBorders>
              <w:top w:val="dotted" w:sz="4" w:space="0" w:color="808080" w:themeColor="background1" w:themeShade="80"/>
              <w:bottom w:val="dotted" w:sz="4" w:space="0" w:color="808080" w:themeColor="background1" w:themeShade="80"/>
              <w:right w:val="single" w:sz="8" w:space="0" w:color="auto"/>
            </w:tcBorders>
            <w:vAlign w:val="center"/>
          </w:tcPr>
          <w:p w:rsidR="00520416" w:rsidRPr="00DE1A26" w:rsidRDefault="00520416" w:rsidP="005865D5">
            <w:pPr>
              <w:spacing w:after="0"/>
              <w:rPr>
                <w:rFonts w:cs="Arial"/>
              </w:rPr>
            </w:pPr>
            <w:r w:rsidRPr="00DE1A26">
              <w:rPr>
                <w:rFonts w:cs="Arial"/>
              </w:rPr>
              <w:t>Institucionální kontrola po uzavření</w:t>
            </w:r>
          </w:p>
        </w:tc>
        <w:tc>
          <w:tcPr>
            <w:tcW w:w="1985" w:type="dxa"/>
            <w:tcBorders>
              <w:top w:val="dotted" w:sz="4" w:space="0" w:color="808080" w:themeColor="background1" w:themeShade="80"/>
              <w:left w:val="single" w:sz="8" w:space="0" w:color="auto"/>
              <w:bottom w:val="dotted" w:sz="4" w:space="0" w:color="808080" w:themeColor="background1" w:themeShade="80"/>
            </w:tcBorders>
            <w:vAlign w:val="center"/>
          </w:tcPr>
          <w:p w:rsidR="00520416" w:rsidRPr="00DE1A26" w:rsidRDefault="00520416" w:rsidP="005865D5">
            <w:pPr>
              <w:spacing w:after="0"/>
              <w:jc w:val="center"/>
              <w:rPr>
                <w:rFonts w:cs="Arial"/>
              </w:rPr>
            </w:pPr>
            <w:r w:rsidRPr="00DE1A26">
              <w:rPr>
                <w:rFonts w:cs="Arial"/>
              </w:rPr>
              <w:t>730</w:t>
            </w:r>
          </w:p>
        </w:tc>
      </w:tr>
      <w:tr w:rsidR="00520416" w:rsidRPr="00DE1A26" w:rsidTr="00491ABA">
        <w:trPr>
          <w:jc w:val="center"/>
        </w:trPr>
        <w:tc>
          <w:tcPr>
            <w:tcW w:w="4818" w:type="dxa"/>
            <w:tcBorders>
              <w:top w:val="dotted" w:sz="4" w:space="0" w:color="808080" w:themeColor="background1" w:themeShade="80"/>
              <w:bottom w:val="thinThickSmallGap" w:sz="24" w:space="0" w:color="auto"/>
              <w:right w:val="single" w:sz="8" w:space="0" w:color="auto"/>
            </w:tcBorders>
            <w:vAlign w:val="center"/>
          </w:tcPr>
          <w:p w:rsidR="00520416" w:rsidRPr="00DE1A26" w:rsidRDefault="00520416" w:rsidP="005865D5">
            <w:pPr>
              <w:spacing w:after="0"/>
              <w:rPr>
                <w:rFonts w:cs="Arial"/>
                <w:b/>
              </w:rPr>
            </w:pPr>
            <w:r w:rsidRPr="00DE1A26">
              <w:rPr>
                <w:rFonts w:cs="Arial"/>
                <w:b/>
              </w:rPr>
              <w:t>CELKOVÉ NÁKLADY</w:t>
            </w:r>
          </w:p>
        </w:tc>
        <w:tc>
          <w:tcPr>
            <w:tcW w:w="1985" w:type="dxa"/>
            <w:tcBorders>
              <w:top w:val="dotted" w:sz="4" w:space="0" w:color="808080" w:themeColor="background1" w:themeShade="80"/>
              <w:left w:val="single" w:sz="8" w:space="0" w:color="auto"/>
              <w:bottom w:val="thinThickSmallGap" w:sz="24" w:space="0" w:color="auto"/>
            </w:tcBorders>
            <w:vAlign w:val="center"/>
          </w:tcPr>
          <w:p w:rsidR="00520416" w:rsidRPr="00DE1A26" w:rsidRDefault="00520416" w:rsidP="005865D5">
            <w:pPr>
              <w:spacing w:after="0"/>
              <w:jc w:val="center"/>
              <w:rPr>
                <w:rFonts w:cs="Arial"/>
                <w:b/>
              </w:rPr>
            </w:pPr>
            <w:r w:rsidRPr="00DE1A26">
              <w:rPr>
                <w:rFonts w:cs="Arial"/>
                <w:b/>
              </w:rPr>
              <w:t>3 250</w:t>
            </w:r>
          </w:p>
        </w:tc>
      </w:tr>
    </w:tbl>
    <w:p w:rsidR="00520416" w:rsidRPr="003A1870" w:rsidRDefault="00520416" w:rsidP="00C223D0">
      <w:pPr>
        <w:spacing w:before="200"/>
        <w:rPr>
          <w:u w:val="single"/>
        </w:rPr>
      </w:pPr>
      <w:bookmarkStart w:id="99" w:name="_Toc477662037"/>
      <w:bookmarkStart w:id="100" w:name="_Toc507315823"/>
      <w:bookmarkStart w:id="101" w:name="_Toc517173844"/>
      <w:bookmarkStart w:id="102" w:name="_Toc517174022"/>
      <w:bookmarkStart w:id="103" w:name="_Toc517174132"/>
      <w:bookmarkStart w:id="104" w:name="_Toc345974009"/>
      <w:bookmarkStart w:id="105" w:name="_Toc349044112"/>
      <w:bookmarkStart w:id="106" w:name="_Toc358623838"/>
      <w:bookmarkStart w:id="107" w:name="_Toc394418988"/>
      <w:r w:rsidRPr="003A1870">
        <w:rPr>
          <w:u w:val="single"/>
        </w:rPr>
        <w:t xml:space="preserve">Náklady na ukládání vyhořelého jaderného paliva </w:t>
      </w:r>
      <w:bookmarkEnd w:id="99"/>
      <w:bookmarkEnd w:id="100"/>
      <w:bookmarkEnd w:id="101"/>
      <w:bookmarkEnd w:id="102"/>
      <w:bookmarkEnd w:id="103"/>
      <w:bookmarkEnd w:id="104"/>
      <w:r w:rsidRPr="003A1870">
        <w:rPr>
          <w:u w:val="single"/>
        </w:rPr>
        <w:t xml:space="preserve">a na odpady </w:t>
      </w:r>
      <w:proofErr w:type="spellStart"/>
      <w:r w:rsidRPr="003A1870">
        <w:rPr>
          <w:u w:val="single"/>
        </w:rPr>
        <w:t>neuložitelné</w:t>
      </w:r>
      <w:proofErr w:type="spellEnd"/>
      <w:r w:rsidRPr="003A1870">
        <w:rPr>
          <w:u w:val="single"/>
        </w:rPr>
        <w:t xml:space="preserve"> do přípovrchových úložišť</w:t>
      </w:r>
      <w:bookmarkEnd w:id="105"/>
      <w:bookmarkEnd w:id="106"/>
      <w:bookmarkEnd w:id="107"/>
    </w:p>
    <w:p w:rsidR="00C42583" w:rsidRDefault="00520416" w:rsidP="00AE2E6B">
      <w:pPr>
        <w:jc w:val="both"/>
        <w:rPr>
          <w:rFonts w:cs="Arial"/>
        </w:rPr>
      </w:pPr>
      <w:r w:rsidRPr="00DE1A26">
        <w:rPr>
          <w:rFonts w:cs="Arial"/>
        </w:rPr>
        <w:t xml:space="preserve">Prostředky na krytí nákladů na přípravu, výstavbu, provoz a uzavření hlubinného úložiště, na úpravu VJP do formy vhodné k uložení a na uložení VJP či RAO budou hrazeny z prostředků jaderného účtu. Základní technickoekonomické podklady pro vyhodnocení nákladů hlubinného úložiště v ČR poskytl referenční projekt HÚ z roku 1999, který byl aktualizován v roce 2011. </w:t>
      </w:r>
      <w:r w:rsidR="00C223D0">
        <w:rPr>
          <w:rFonts w:cs="Arial"/>
        </w:rPr>
        <w:fldChar w:fldCharType="begin"/>
      </w:r>
      <w:r w:rsidR="00C223D0">
        <w:rPr>
          <w:rFonts w:cs="Arial"/>
        </w:rPr>
        <w:instrText xml:space="preserve"> REF _Ref408845600 \h </w:instrText>
      </w:r>
      <w:r w:rsidR="00C223D0">
        <w:rPr>
          <w:rFonts w:cs="Arial"/>
        </w:rPr>
      </w:r>
      <w:r w:rsidR="00C223D0">
        <w:rPr>
          <w:rFonts w:cs="Arial"/>
        </w:rPr>
        <w:fldChar w:fldCharType="separate"/>
      </w:r>
      <w:r w:rsidR="007B491F" w:rsidRPr="00C223D0">
        <w:rPr>
          <w:rFonts w:cs="Arial"/>
        </w:rPr>
        <w:t xml:space="preserve">Tabulka č. </w:t>
      </w:r>
      <w:r w:rsidR="007B491F">
        <w:rPr>
          <w:rFonts w:cs="Arial"/>
          <w:noProof/>
        </w:rPr>
        <w:t>5</w:t>
      </w:r>
      <w:r w:rsidR="00C223D0">
        <w:rPr>
          <w:rFonts w:cs="Arial"/>
        </w:rPr>
        <w:fldChar w:fldCharType="end"/>
      </w:r>
      <w:r w:rsidRPr="00DE1A26">
        <w:rPr>
          <w:rFonts w:cs="Arial"/>
        </w:rPr>
        <w:t xml:space="preserve"> uv</w:t>
      </w:r>
      <w:r w:rsidR="00C223D0">
        <w:rPr>
          <w:rFonts w:cs="Arial"/>
        </w:rPr>
        <w:t>ádí</w:t>
      </w:r>
      <w:r w:rsidRPr="00DE1A26">
        <w:rPr>
          <w:rFonts w:cs="Arial"/>
        </w:rPr>
        <w:t xml:space="preserve"> odhad nákladů na výstavbu a provoz HÚ (mil. Kč v cenách roku 2011).</w:t>
      </w:r>
    </w:p>
    <w:p w:rsidR="00C223D0" w:rsidRDefault="00C223D0" w:rsidP="00C223D0">
      <w:pPr>
        <w:pStyle w:val="Titulek"/>
        <w:keepNext/>
      </w:pPr>
      <w:bookmarkStart w:id="108" w:name="_Ref408845600"/>
      <w:bookmarkStart w:id="109" w:name="_Toc420058309"/>
      <w:r w:rsidRPr="00C223D0">
        <w:rPr>
          <w:rFonts w:cs="Arial"/>
          <w:color w:val="auto"/>
          <w:sz w:val="22"/>
          <w:szCs w:val="22"/>
        </w:rPr>
        <w:t xml:space="preserve">Tabulka č. </w:t>
      </w:r>
      <w:r w:rsidRPr="00C223D0">
        <w:rPr>
          <w:rFonts w:cs="Arial"/>
          <w:color w:val="auto"/>
          <w:sz w:val="22"/>
          <w:szCs w:val="22"/>
        </w:rPr>
        <w:fldChar w:fldCharType="begin"/>
      </w:r>
      <w:r w:rsidRPr="00C223D0">
        <w:rPr>
          <w:rFonts w:cs="Arial"/>
          <w:color w:val="auto"/>
          <w:sz w:val="22"/>
          <w:szCs w:val="22"/>
        </w:rPr>
        <w:instrText xml:space="preserve"> SEQ Tabulka_č. \* ARABIC </w:instrText>
      </w:r>
      <w:r w:rsidRPr="00C223D0">
        <w:rPr>
          <w:rFonts w:cs="Arial"/>
          <w:color w:val="auto"/>
          <w:sz w:val="22"/>
          <w:szCs w:val="22"/>
        </w:rPr>
        <w:fldChar w:fldCharType="separate"/>
      </w:r>
      <w:r w:rsidR="00FE1E1A">
        <w:rPr>
          <w:rFonts w:cs="Arial"/>
          <w:noProof/>
          <w:color w:val="auto"/>
          <w:sz w:val="22"/>
          <w:szCs w:val="22"/>
        </w:rPr>
        <w:t>5</w:t>
      </w:r>
      <w:r w:rsidRPr="00C223D0">
        <w:rPr>
          <w:rFonts w:cs="Arial"/>
          <w:color w:val="auto"/>
          <w:sz w:val="22"/>
          <w:szCs w:val="22"/>
        </w:rPr>
        <w:fldChar w:fldCharType="end"/>
      </w:r>
      <w:bookmarkEnd w:id="108"/>
      <w:r w:rsidRPr="00C223D0">
        <w:rPr>
          <w:rFonts w:cs="Arial"/>
          <w:color w:val="auto"/>
          <w:sz w:val="22"/>
          <w:szCs w:val="22"/>
        </w:rPr>
        <w:t xml:space="preserve">: </w:t>
      </w:r>
      <w:r w:rsidRPr="00C223D0">
        <w:rPr>
          <w:rFonts w:cs="Arial"/>
          <w:b w:val="0"/>
          <w:i/>
          <w:color w:val="auto"/>
          <w:sz w:val="22"/>
          <w:szCs w:val="22"/>
        </w:rPr>
        <w:t>Odhad nákladů na HÚ</w:t>
      </w:r>
      <w:bookmarkEnd w:id="10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1985"/>
      </w:tblGrid>
      <w:tr w:rsidR="005865D5" w:rsidRPr="00DE1A26" w:rsidTr="00491ABA">
        <w:trPr>
          <w:jc w:val="center"/>
        </w:trPr>
        <w:tc>
          <w:tcPr>
            <w:tcW w:w="4819" w:type="dxa"/>
            <w:tcBorders>
              <w:bottom w:val="single" w:sz="12" w:space="0" w:color="auto"/>
              <w:right w:val="single" w:sz="8" w:space="0" w:color="auto"/>
            </w:tcBorders>
            <w:shd w:val="clear" w:color="auto" w:fill="B8CCE4" w:themeFill="accent1" w:themeFillTint="66"/>
            <w:vAlign w:val="center"/>
          </w:tcPr>
          <w:p w:rsidR="005865D5" w:rsidRPr="005865D5" w:rsidRDefault="005865D5" w:rsidP="005865D5">
            <w:pPr>
              <w:numPr>
                <w:ilvl w:val="12"/>
                <w:numId w:val="0"/>
              </w:numPr>
              <w:spacing w:after="0"/>
              <w:rPr>
                <w:rFonts w:cs="Arial"/>
                <w:b/>
              </w:rPr>
            </w:pPr>
            <w:r w:rsidRPr="005865D5">
              <w:rPr>
                <w:rFonts w:cs="Arial"/>
                <w:b/>
              </w:rPr>
              <w:t>Druh nákladu</w:t>
            </w:r>
          </w:p>
        </w:tc>
        <w:tc>
          <w:tcPr>
            <w:tcW w:w="1985" w:type="dxa"/>
            <w:tcBorders>
              <w:left w:val="single" w:sz="8" w:space="0" w:color="auto"/>
              <w:bottom w:val="single" w:sz="12" w:space="0" w:color="auto"/>
            </w:tcBorders>
            <w:shd w:val="clear" w:color="auto" w:fill="B8CCE4" w:themeFill="accent1" w:themeFillTint="66"/>
            <w:vAlign w:val="center"/>
          </w:tcPr>
          <w:p w:rsidR="005865D5" w:rsidRPr="005865D5" w:rsidRDefault="005865D5" w:rsidP="009A2BE8">
            <w:pPr>
              <w:numPr>
                <w:ilvl w:val="12"/>
                <w:numId w:val="0"/>
              </w:numPr>
              <w:spacing w:after="0"/>
              <w:jc w:val="center"/>
              <w:rPr>
                <w:rFonts w:cs="Arial"/>
                <w:b/>
              </w:rPr>
            </w:pPr>
            <w:r w:rsidRPr="005865D5">
              <w:rPr>
                <w:rFonts w:cs="Arial"/>
                <w:b/>
              </w:rPr>
              <w:t>Částka</w:t>
            </w:r>
            <w:r w:rsidR="009A2BE8">
              <w:rPr>
                <w:rFonts w:cs="Arial"/>
                <w:b/>
              </w:rPr>
              <w:t xml:space="preserve"> </w:t>
            </w:r>
            <w:r w:rsidR="009A2BE8">
              <w:rPr>
                <w:rFonts w:cs="Arial"/>
                <w:b/>
                <w:lang w:val="en-US"/>
              </w:rPr>
              <w:t xml:space="preserve">[mil. </w:t>
            </w:r>
            <w:proofErr w:type="spellStart"/>
            <w:r w:rsidR="009A2BE8">
              <w:rPr>
                <w:rFonts w:cs="Arial"/>
                <w:b/>
                <w:lang w:val="en-US"/>
              </w:rPr>
              <w:t>Kč</w:t>
            </w:r>
            <w:proofErr w:type="spellEnd"/>
            <w:r w:rsidR="009A2BE8">
              <w:rPr>
                <w:rFonts w:cs="Arial"/>
                <w:b/>
                <w:lang w:val="en-US"/>
              </w:rPr>
              <w:t>]</w:t>
            </w:r>
          </w:p>
        </w:tc>
      </w:tr>
      <w:tr w:rsidR="00520416" w:rsidRPr="00DE1A26" w:rsidTr="00491ABA">
        <w:trPr>
          <w:jc w:val="center"/>
        </w:trPr>
        <w:tc>
          <w:tcPr>
            <w:tcW w:w="4819" w:type="dxa"/>
            <w:tcBorders>
              <w:top w:val="single" w:sz="12" w:space="0" w:color="auto"/>
              <w:bottom w:val="dotted" w:sz="4" w:space="0" w:color="808080" w:themeColor="background1" w:themeShade="80"/>
              <w:right w:val="single" w:sz="8" w:space="0" w:color="auto"/>
            </w:tcBorders>
            <w:vAlign w:val="center"/>
          </w:tcPr>
          <w:p w:rsidR="00520416" w:rsidRPr="00DE1A26" w:rsidRDefault="00520416" w:rsidP="005865D5">
            <w:pPr>
              <w:numPr>
                <w:ilvl w:val="12"/>
                <w:numId w:val="0"/>
              </w:numPr>
              <w:spacing w:after="0"/>
              <w:rPr>
                <w:rFonts w:cs="Arial"/>
              </w:rPr>
            </w:pPr>
            <w:r w:rsidRPr="00DE1A26">
              <w:rPr>
                <w:rFonts w:cs="Arial"/>
              </w:rPr>
              <w:t>Celkové náklady stavby včetně V</w:t>
            </w:r>
            <w:r w:rsidRPr="00DE1A26">
              <w:rPr>
                <w:rFonts w:cs="Arial"/>
                <w:lang w:val="en-US"/>
              </w:rPr>
              <w:t>&amp;</w:t>
            </w:r>
            <w:r w:rsidRPr="00DE1A26">
              <w:rPr>
                <w:rFonts w:cs="Arial"/>
              </w:rPr>
              <w:t>V</w:t>
            </w:r>
          </w:p>
        </w:tc>
        <w:tc>
          <w:tcPr>
            <w:tcW w:w="1985" w:type="dxa"/>
            <w:tcBorders>
              <w:top w:val="single" w:sz="12" w:space="0" w:color="auto"/>
              <w:left w:val="single" w:sz="8" w:space="0" w:color="auto"/>
              <w:bottom w:val="dotted" w:sz="4" w:space="0" w:color="808080" w:themeColor="background1" w:themeShade="80"/>
            </w:tcBorders>
            <w:vAlign w:val="center"/>
          </w:tcPr>
          <w:p w:rsidR="00520416" w:rsidRPr="00DE1A26" w:rsidRDefault="00520416" w:rsidP="005865D5">
            <w:pPr>
              <w:numPr>
                <w:ilvl w:val="12"/>
                <w:numId w:val="0"/>
              </w:numPr>
              <w:spacing w:after="0"/>
              <w:ind w:firstLine="425"/>
              <w:jc w:val="center"/>
              <w:rPr>
                <w:rFonts w:cs="Arial"/>
              </w:rPr>
            </w:pPr>
            <w:r w:rsidRPr="00DE1A26">
              <w:rPr>
                <w:rFonts w:cs="Arial"/>
              </w:rPr>
              <w:t>36 700</w:t>
            </w:r>
          </w:p>
        </w:tc>
      </w:tr>
      <w:tr w:rsidR="00520416" w:rsidRPr="00DE1A26" w:rsidTr="00491ABA">
        <w:trPr>
          <w:jc w:val="center"/>
        </w:trPr>
        <w:tc>
          <w:tcPr>
            <w:tcW w:w="4819" w:type="dxa"/>
            <w:tcBorders>
              <w:top w:val="dotted" w:sz="4" w:space="0" w:color="808080" w:themeColor="background1" w:themeShade="80"/>
              <w:bottom w:val="dotted" w:sz="4" w:space="0" w:color="808080" w:themeColor="background1" w:themeShade="80"/>
              <w:right w:val="single" w:sz="8" w:space="0" w:color="auto"/>
            </w:tcBorders>
            <w:vAlign w:val="center"/>
          </w:tcPr>
          <w:p w:rsidR="00520416" w:rsidRPr="00DE1A26" w:rsidRDefault="00520416" w:rsidP="005865D5">
            <w:pPr>
              <w:numPr>
                <w:ilvl w:val="12"/>
                <w:numId w:val="0"/>
              </w:numPr>
              <w:spacing w:after="0"/>
              <w:rPr>
                <w:rFonts w:cs="Arial"/>
              </w:rPr>
            </w:pPr>
            <w:r w:rsidRPr="00DE1A26">
              <w:rPr>
                <w:rFonts w:cs="Arial"/>
              </w:rPr>
              <w:t>Provoz včetně uzavření úložiště</w:t>
            </w:r>
          </w:p>
        </w:tc>
        <w:tc>
          <w:tcPr>
            <w:tcW w:w="1985" w:type="dxa"/>
            <w:tcBorders>
              <w:top w:val="dotted" w:sz="4" w:space="0" w:color="808080" w:themeColor="background1" w:themeShade="80"/>
              <w:left w:val="single" w:sz="8" w:space="0" w:color="auto"/>
              <w:bottom w:val="dotted" w:sz="4" w:space="0" w:color="808080" w:themeColor="background1" w:themeShade="80"/>
            </w:tcBorders>
            <w:vAlign w:val="center"/>
          </w:tcPr>
          <w:p w:rsidR="00520416" w:rsidRPr="00DE1A26" w:rsidRDefault="00520416" w:rsidP="005865D5">
            <w:pPr>
              <w:numPr>
                <w:ilvl w:val="12"/>
                <w:numId w:val="0"/>
              </w:numPr>
              <w:spacing w:after="0"/>
              <w:ind w:firstLine="425"/>
              <w:jc w:val="center"/>
              <w:rPr>
                <w:rFonts w:cs="Arial"/>
              </w:rPr>
            </w:pPr>
            <w:r w:rsidRPr="00DE1A26">
              <w:rPr>
                <w:rFonts w:cs="Arial"/>
              </w:rPr>
              <w:t>42 100</w:t>
            </w:r>
          </w:p>
        </w:tc>
      </w:tr>
      <w:tr w:rsidR="00520416" w:rsidRPr="00DE1A26" w:rsidTr="00491ABA">
        <w:trPr>
          <w:jc w:val="center"/>
        </w:trPr>
        <w:tc>
          <w:tcPr>
            <w:tcW w:w="4819" w:type="dxa"/>
            <w:tcBorders>
              <w:top w:val="dotted" w:sz="4" w:space="0" w:color="808080" w:themeColor="background1" w:themeShade="80"/>
              <w:bottom w:val="dotted" w:sz="4" w:space="0" w:color="808080" w:themeColor="background1" w:themeShade="80"/>
              <w:right w:val="single" w:sz="8" w:space="0" w:color="auto"/>
            </w:tcBorders>
            <w:vAlign w:val="center"/>
          </w:tcPr>
          <w:p w:rsidR="00520416" w:rsidRPr="00DE1A26" w:rsidRDefault="00520416" w:rsidP="005865D5">
            <w:pPr>
              <w:numPr>
                <w:ilvl w:val="12"/>
                <w:numId w:val="0"/>
              </w:numPr>
              <w:spacing w:after="0"/>
              <w:rPr>
                <w:rFonts w:cs="Arial"/>
              </w:rPr>
            </w:pPr>
            <w:r w:rsidRPr="00DE1A26">
              <w:rPr>
                <w:rFonts w:cs="Arial"/>
              </w:rPr>
              <w:t>Ukládací kontejnery</w:t>
            </w:r>
          </w:p>
        </w:tc>
        <w:tc>
          <w:tcPr>
            <w:tcW w:w="1985" w:type="dxa"/>
            <w:tcBorders>
              <w:top w:val="dotted" w:sz="4" w:space="0" w:color="808080" w:themeColor="background1" w:themeShade="80"/>
              <w:left w:val="single" w:sz="8" w:space="0" w:color="auto"/>
              <w:bottom w:val="dotted" w:sz="4" w:space="0" w:color="808080" w:themeColor="background1" w:themeShade="80"/>
            </w:tcBorders>
            <w:vAlign w:val="center"/>
          </w:tcPr>
          <w:p w:rsidR="00520416" w:rsidRPr="00DE1A26" w:rsidRDefault="00520416" w:rsidP="005865D5">
            <w:pPr>
              <w:numPr>
                <w:ilvl w:val="12"/>
                <w:numId w:val="0"/>
              </w:numPr>
              <w:spacing w:after="0"/>
              <w:ind w:firstLine="425"/>
              <w:jc w:val="center"/>
              <w:rPr>
                <w:rFonts w:cs="Arial"/>
              </w:rPr>
            </w:pPr>
            <w:r w:rsidRPr="00DE1A26">
              <w:rPr>
                <w:rFonts w:cs="Arial"/>
              </w:rPr>
              <w:t>32 600</w:t>
            </w:r>
          </w:p>
        </w:tc>
      </w:tr>
      <w:tr w:rsidR="00520416" w:rsidRPr="00DE1A26" w:rsidTr="00491ABA">
        <w:trPr>
          <w:jc w:val="center"/>
        </w:trPr>
        <w:tc>
          <w:tcPr>
            <w:tcW w:w="4819" w:type="dxa"/>
            <w:tcBorders>
              <w:top w:val="dotted" w:sz="4" w:space="0" w:color="808080" w:themeColor="background1" w:themeShade="80"/>
              <w:bottom w:val="thinThickSmallGap" w:sz="24" w:space="0" w:color="auto"/>
              <w:right w:val="single" w:sz="8" w:space="0" w:color="auto"/>
            </w:tcBorders>
            <w:vAlign w:val="center"/>
          </w:tcPr>
          <w:p w:rsidR="00520416" w:rsidRPr="00DE1A26" w:rsidRDefault="00520416" w:rsidP="005865D5">
            <w:pPr>
              <w:numPr>
                <w:ilvl w:val="12"/>
                <w:numId w:val="0"/>
              </w:numPr>
              <w:spacing w:after="0"/>
              <w:rPr>
                <w:rFonts w:cs="Arial"/>
                <w:b/>
              </w:rPr>
            </w:pPr>
            <w:r w:rsidRPr="00DE1A26">
              <w:rPr>
                <w:rFonts w:cs="Arial"/>
                <w:b/>
              </w:rPr>
              <w:t>CELKOVÉ NÁKLADY</w:t>
            </w:r>
          </w:p>
        </w:tc>
        <w:tc>
          <w:tcPr>
            <w:tcW w:w="1985" w:type="dxa"/>
            <w:tcBorders>
              <w:top w:val="dotted" w:sz="4" w:space="0" w:color="808080" w:themeColor="background1" w:themeShade="80"/>
              <w:left w:val="single" w:sz="8" w:space="0" w:color="auto"/>
              <w:bottom w:val="thinThickSmallGap" w:sz="24" w:space="0" w:color="auto"/>
            </w:tcBorders>
            <w:vAlign w:val="center"/>
          </w:tcPr>
          <w:p w:rsidR="00520416" w:rsidRPr="00DE1A26" w:rsidRDefault="00520416" w:rsidP="005865D5">
            <w:pPr>
              <w:numPr>
                <w:ilvl w:val="12"/>
                <w:numId w:val="0"/>
              </w:numPr>
              <w:spacing w:after="0"/>
              <w:ind w:firstLine="425"/>
              <w:jc w:val="center"/>
              <w:rPr>
                <w:rFonts w:cs="Arial"/>
                <w:b/>
              </w:rPr>
            </w:pPr>
            <w:r w:rsidRPr="00DE1A26">
              <w:rPr>
                <w:rFonts w:cs="Arial"/>
                <w:b/>
              </w:rPr>
              <w:t>111 400</w:t>
            </w:r>
          </w:p>
        </w:tc>
      </w:tr>
    </w:tbl>
    <w:p w:rsidR="003A1870" w:rsidRPr="00586A3A" w:rsidRDefault="002B622F" w:rsidP="00C223D0">
      <w:pPr>
        <w:pStyle w:val="Nadpis2"/>
        <w:spacing w:before="200"/>
        <w:ind w:left="578" w:hanging="578"/>
        <w:contextualSpacing w:val="0"/>
      </w:pPr>
      <w:bookmarkStart w:id="110" w:name="_Toc507315824"/>
      <w:bookmarkStart w:id="111" w:name="_Toc517173845"/>
      <w:bookmarkStart w:id="112" w:name="_Toc517174023"/>
      <w:bookmarkStart w:id="113" w:name="_Toc517174133"/>
      <w:bookmarkStart w:id="114" w:name="_Toc345974010"/>
      <w:bookmarkStart w:id="115" w:name="_Toc349044123"/>
      <w:bookmarkStart w:id="116" w:name="_Toc358623839"/>
      <w:bookmarkStart w:id="117" w:name="_Toc394418989"/>
      <w:bookmarkStart w:id="118" w:name="_Toc420056004"/>
      <w:bookmarkStart w:id="119" w:name="_Toc477662038"/>
      <w:bookmarkStart w:id="120" w:name="_Toc407035555"/>
      <w:r w:rsidRPr="00586A3A">
        <w:t>Vytvoření dostatečné r</w:t>
      </w:r>
      <w:r w:rsidR="003A1870" w:rsidRPr="00586A3A">
        <w:t>ezervy na vyřazování</w:t>
      </w:r>
      <w:bookmarkEnd w:id="110"/>
      <w:bookmarkEnd w:id="111"/>
      <w:bookmarkEnd w:id="112"/>
      <w:bookmarkEnd w:id="113"/>
      <w:bookmarkEnd w:id="114"/>
      <w:bookmarkEnd w:id="115"/>
      <w:bookmarkEnd w:id="116"/>
      <w:bookmarkEnd w:id="117"/>
      <w:bookmarkEnd w:id="118"/>
      <w:r w:rsidR="003A1870" w:rsidRPr="00586A3A">
        <w:t xml:space="preserve"> </w:t>
      </w:r>
      <w:bookmarkEnd w:id="119"/>
      <w:bookmarkEnd w:id="120"/>
    </w:p>
    <w:p w:rsidR="00C43F39" w:rsidRDefault="00C43F39" w:rsidP="00C43F39">
      <w:pPr>
        <w:spacing w:after="240"/>
        <w:jc w:val="both"/>
        <w:rPr>
          <w:color w:val="000000"/>
        </w:rPr>
      </w:pPr>
      <w:r>
        <w:t>Způsob tvorby rezervy pro zajištění vyřazování jaderného zařízení nebo pracoviště III. nebo IV. kategorie z provozu stanovuje vyhláška Ministerstva průmyslu a obchodu č. 360/2002 Sb. Na základě této vyhlášky jsou držitel</w:t>
      </w:r>
      <w:r w:rsidR="004B0C04">
        <w:t>é povolení k provozování jaderné</w:t>
      </w:r>
      <w:r>
        <w:t xml:space="preserve">ho zdroje povinni tvořit rezervu na vyřazování, pokud odhad nákladů na vyřazování podle vyhlášky č. 185/2003 Sb. překročí 300 000 Kč. </w:t>
      </w:r>
      <w:r>
        <w:rPr>
          <w:color w:val="000000"/>
        </w:rPr>
        <w:t>Výše rezervy na vyřazování za zdaňovací období je stanovena jako podíl odhadu celkových nákladů na vyřazování z provozu k počtu let, které uplynou od doby vydání povolení k etapě aktivního vyzkoušení do předpokládaného ukončení vyřazování z provozu. Při aktualizaci odhadu nákladů na vyřazování z provozu tvoří držitelé povolení rezervu na vyřazování za zdaňovací období, ve kterém došlo k aktualizaci nákladů, jako podíl rozdílu aktualizovaných nákladů a již vytvořených prostředků na vyřazování k počtu let zbývajících do předpokládaného ukončení vyřazování z provozu. Podrobné náležitosti určení finanční rezervy jsou uvedeny v této vyhlášce.</w:t>
      </w:r>
    </w:p>
    <w:p w:rsidR="00C43F39" w:rsidRPr="00D71190" w:rsidRDefault="00C43F39" w:rsidP="00C43F39">
      <w:pPr>
        <w:jc w:val="both"/>
        <w:rPr>
          <w:rFonts w:cstheme="minorHAnsi"/>
          <w:noProof/>
        </w:rPr>
      </w:pPr>
      <w:r>
        <w:rPr>
          <w:rFonts w:cstheme="minorHAnsi"/>
          <w:noProof/>
        </w:rPr>
        <w:t xml:space="preserve">V rámci Evropské </w:t>
      </w:r>
      <w:r w:rsidR="004B0C04">
        <w:rPr>
          <w:rFonts w:cstheme="minorHAnsi"/>
          <w:noProof/>
        </w:rPr>
        <w:t>unie existují tři základní druhy</w:t>
      </w:r>
      <w:r>
        <w:rPr>
          <w:rFonts w:cstheme="minorHAnsi"/>
          <w:noProof/>
        </w:rPr>
        <w:t xml:space="preserve"> modelů rezervních finančních fondů</w:t>
      </w:r>
      <w:r w:rsidRPr="00D71190">
        <w:rPr>
          <w:rFonts w:cstheme="minorHAnsi"/>
          <w:noProof/>
        </w:rPr>
        <w:t xml:space="preserve">, jež členské státy přijaly: </w:t>
      </w:r>
    </w:p>
    <w:p w:rsidR="00C43F39" w:rsidRPr="00D71190" w:rsidRDefault="00C43F39" w:rsidP="00876EF9">
      <w:pPr>
        <w:pStyle w:val="Seznamsodrkami"/>
        <w:numPr>
          <w:ilvl w:val="0"/>
          <w:numId w:val="101"/>
        </w:numPr>
        <w:tabs>
          <w:tab w:val="num" w:pos="709"/>
        </w:tabs>
        <w:spacing w:line="276" w:lineRule="auto"/>
        <w:rPr>
          <w:rFonts w:asciiTheme="minorHAnsi" w:hAnsiTheme="minorHAnsi" w:cstheme="minorHAnsi"/>
          <w:sz w:val="22"/>
          <w:szCs w:val="22"/>
        </w:rPr>
      </w:pPr>
      <w:r w:rsidRPr="00D71190">
        <w:rPr>
          <w:rFonts w:asciiTheme="minorHAnsi" w:hAnsiTheme="minorHAnsi" w:cstheme="minorHAnsi"/>
          <w:sz w:val="22"/>
          <w:szCs w:val="22"/>
        </w:rPr>
        <w:t>vyčleněný vnitřní fond, který provozovatel zařízení spravuje jako samostatný rozpočet, z něhož se může čerpat pouze pro účely vyřazování z provozu a nakládání s odpadem a který je pod dohledem vnitrostátního subjektu. Fondy tohoto typu existují například ve Francii, Belgii a</w:t>
      </w:r>
      <w:r>
        <w:rPr>
          <w:rFonts w:asciiTheme="minorHAnsi" w:hAnsiTheme="minorHAnsi" w:cstheme="minorHAnsi"/>
          <w:sz w:val="22"/>
          <w:szCs w:val="22"/>
        </w:rPr>
        <w:t> </w:t>
      </w:r>
      <w:r w:rsidRPr="00D71190">
        <w:rPr>
          <w:rFonts w:asciiTheme="minorHAnsi" w:hAnsiTheme="minorHAnsi" w:cstheme="minorHAnsi"/>
          <w:sz w:val="22"/>
          <w:szCs w:val="22"/>
        </w:rPr>
        <w:t xml:space="preserve">České republice; </w:t>
      </w:r>
    </w:p>
    <w:p w:rsidR="00C43F39" w:rsidRPr="00D71190" w:rsidRDefault="00C43F39" w:rsidP="00876EF9">
      <w:pPr>
        <w:pStyle w:val="Seznamsodrkami"/>
        <w:numPr>
          <w:ilvl w:val="0"/>
          <w:numId w:val="101"/>
        </w:numPr>
        <w:tabs>
          <w:tab w:val="num" w:pos="709"/>
        </w:tabs>
        <w:spacing w:line="276" w:lineRule="auto"/>
        <w:rPr>
          <w:rFonts w:asciiTheme="minorHAnsi" w:hAnsiTheme="minorHAnsi" w:cstheme="minorHAnsi"/>
          <w:sz w:val="22"/>
          <w:szCs w:val="22"/>
        </w:rPr>
      </w:pPr>
      <w:r w:rsidRPr="00D71190">
        <w:rPr>
          <w:rFonts w:asciiTheme="minorHAnsi" w:hAnsiTheme="minorHAnsi" w:cstheme="minorHAnsi"/>
          <w:sz w:val="22"/>
          <w:szCs w:val="22"/>
        </w:rPr>
        <w:lastRenderedPageBreak/>
        <w:t xml:space="preserve">vyčleněný vnější fond, který není spravován provozovatelem zařízení. Takové fondy existují ve Finsku a Švédsku, kde jsou nezávislé na státním rozpočtu, a v Maďarsku, Rumunsku, na Slovensku a v Bulharsku, kde jsou však tyto fondy jistým způsobem součástí státního rozpočtu; </w:t>
      </w:r>
    </w:p>
    <w:p w:rsidR="00C43F39" w:rsidRDefault="00C43F39" w:rsidP="00876EF9">
      <w:pPr>
        <w:pStyle w:val="Seznamsodrkami"/>
        <w:numPr>
          <w:ilvl w:val="0"/>
          <w:numId w:val="101"/>
        </w:numPr>
        <w:tabs>
          <w:tab w:val="num" w:pos="709"/>
        </w:tabs>
        <w:spacing w:line="276" w:lineRule="auto"/>
        <w:rPr>
          <w:rFonts w:asciiTheme="minorHAnsi" w:hAnsiTheme="minorHAnsi" w:cstheme="minorHAnsi"/>
          <w:sz w:val="22"/>
          <w:szCs w:val="22"/>
        </w:rPr>
      </w:pPr>
      <w:r w:rsidRPr="00D71190">
        <w:rPr>
          <w:rFonts w:asciiTheme="minorHAnsi" w:hAnsiTheme="minorHAnsi" w:cstheme="minorHAnsi"/>
          <w:sz w:val="22"/>
          <w:szCs w:val="22"/>
        </w:rPr>
        <w:t>nevyčleněné vnitřní fondy existují v Německu, kde obchodní zákon vyžaduje, aby si společnosti provozující jaderné elektrárny pro náklady na budoucí vyřazování z provozu a nakládání s</w:t>
      </w:r>
      <w:r>
        <w:rPr>
          <w:rFonts w:asciiTheme="minorHAnsi" w:hAnsiTheme="minorHAnsi" w:cstheme="minorHAnsi"/>
          <w:sz w:val="22"/>
          <w:szCs w:val="22"/>
        </w:rPr>
        <w:t> </w:t>
      </w:r>
      <w:r w:rsidRPr="00D71190">
        <w:rPr>
          <w:rFonts w:asciiTheme="minorHAnsi" w:hAnsiTheme="minorHAnsi" w:cstheme="minorHAnsi"/>
          <w:sz w:val="22"/>
          <w:szCs w:val="22"/>
        </w:rPr>
        <w:t>odpadem ve svých rozvahách vytvořily značné rezervy.</w:t>
      </w:r>
    </w:p>
    <w:p w:rsidR="00C42583" w:rsidRDefault="00C43F39" w:rsidP="00876EF9">
      <w:pPr>
        <w:pStyle w:val="Seznamsodrkami"/>
        <w:numPr>
          <w:ilvl w:val="0"/>
          <w:numId w:val="0"/>
        </w:numPr>
        <w:tabs>
          <w:tab w:val="num" w:pos="709"/>
        </w:tabs>
        <w:spacing w:line="276" w:lineRule="auto"/>
        <w:rPr>
          <w:rFonts w:asciiTheme="minorHAnsi" w:hAnsiTheme="minorHAnsi" w:cstheme="minorHAnsi"/>
          <w:sz w:val="22"/>
          <w:szCs w:val="22"/>
        </w:rPr>
      </w:pPr>
      <w:r>
        <w:rPr>
          <w:rFonts w:asciiTheme="minorHAnsi" w:hAnsiTheme="minorHAnsi" w:cstheme="minorHAnsi"/>
          <w:sz w:val="22"/>
          <w:szCs w:val="22"/>
        </w:rPr>
        <w:t>Evropská</w:t>
      </w:r>
      <w:r w:rsidRPr="004B6E36">
        <w:rPr>
          <w:rFonts w:asciiTheme="minorHAnsi" w:hAnsiTheme="minorHAnsi" w:cstheme="minorHAnsi"/>
          <w:sz w:val="22"/>
          <w:szCs w:val="22"/>
        </w:rPr>
        <w:t xml:space="preserve"> Komise společně s Agenturou pro jadernou energii vypracovala a navrhla „žlutou knihu“ obsahující metodiku pro výpočet nákladů na vyřazování z provozu. I když se tato metodika pro výpočet nebo srovnání s referenčními ukazateli důrazně doporučuje, nejedná se o povinný postup. V</w:t>
      </w:r>
      <w:r>
        <w:rPr>
          <w:rFonts w:asciiTheme="minorHAnsi" w:hAnsiTheme="minorHAnsi" w:cstheme="minorHAnsi"/>
          <w:sz w:val="22"/>
          <w:szCs w:val="22"/>
        </w:rPr>
        <w:t> </w:t>
      </w:r>
      <w:r w:rsidRPr="004B6E36">
        <w:rPr>
          <w:rFonts w:asciiTheme="minorHAnsi" w:hAnsiTheme="minorHAnsi" w:cstheme="minorHAnsi"/>
          <w:sz w:val="22"/>
          <w:szCs w:val="22"/>
        </w:rPr>
        <w:t>některých zemích by však mohla sloužit jako vzor k vylepšení tamních metodik. Před nedávnem byla „žlutá kniha“ aktualizována a nahrazena „Mezinárodní strukturou pro náklady spojené s vyřazováním z provozu“, kterou vydala Agentura pro jadernou energii v roce 2012. Dosud neexistuje rovnocenný způsob hodnocení nákladů spojených s jaderným odpadem.</w:t>
      </w:r>
    </w:p>
    <w:p w:rsidR="00C43F39" w:rsidRDefault="00C43F39" w:rsidP="00C43F39">
      <w:pPr>
        <w:spacing w:after="240"/>
        <w:jc w:val="both"/>
        <w:rPr>
          <w:color w:val="000000"/>
        </w:rPr>
      </w:pPr>
      <w:r w:rsidRPr="003B5EF4">
        <w:rPr>
          <w:color w:val="000000"/>
        </w:rPr>
        <w:t>V České republice je systém nastaven tak, že se tvoří rezerva na vyřazování (likvidaci)</w:t>
      </w:r>
      <w:r>
        <w:rPr>
          <w:color w:val="000000"/>
        </w:rPr>
        <w:t xml:space="preserve"> jaderného zdroje</w:t>
      </w:r>
      <w:r w:rsidRPr="003B5EF4">
        <w:rPr>
          <w:color w:val="000000"/>
        </w:rPr>
        <w:t xml:space="preserve"> odděleně od prostředků na financování budoucího uložení </w:t>
      </w:r>
      <w:r>
        <w:rPr>
          <w:color w:val="000000"/>
        </w:rPr>
        <w:t>radioaktivního odpadu</w:t>
      </w:r>
      <w:r w:rsidRPr="003B5EF4">
        <w:rPr>
          <w:color w:val="000000"/>
        </w:rPr>
        <w:t xml:space="preserve"> a</w:t>
      </w:r>
      <w:r>
        <w:rPr>
          <w:color w:val="000000"/>
        </w:rPr>
        <w:t> vyhořelého jaderného paliva</w:t>
      </w:r>
      <w:r w:rsidRPr="003B5EF4">
        <w:rPr>
          <w:color w:val="000000"/>
        </w:rPr>
        <w:t>. Zatímco vyřazování</w:t>
      </w:r>
      <w:r>
        <w:rPr>
          <w:color w:val="000000"/>
        </w:rPr>
        <w:t xml:space="preserve"> </w:t>
      </w:r>
      <w:r w:rsidRPr="003B5EF4">
        <w:rPr>
          <w:color w:val="000000"/>
        </w:rPr>
        <w:t>je financováno z prostředků, které zůstávají v</w:t>
      </w:r>
      <w:r>
        <w:rPr>
          <w:color w:val="000000"/>
        </w:rPr>
        <w:t> </w:t>
      </w:r>
      <w:r w:rsidRPr="003B5EF4">
        <w:rPr>
          <w:color w:val="000000"/>
        </w:rPr>
        <w:t xml:space="preserve">rozvaze provozovatele, tak ukládání </w:t>
      </w:r>
      <w:r>
        <w:rPr>
          <w:color w:val="000000"/>
        </w:rPr>
        <w:t>radioaktivního odpadu</w:t>
      </w:r>
      <w:r w:rsidRPr="003B5EF4">
        <w:rPr>
          <w:color w:val="000000"/>
        </w:rPr>
        <w:t xml:space="preserve"> a </w:t>
      </w:r>
      <w:r>
        <w:rPr>
          <w:color w:val="000000"/>
        </w:rPr>
        <w:t xml:space="preserve">vyhořelého jaderného paliva </w:t>
      </w:r>
      <w:r w:rsidRPr="003B5EF4">
        <w:rPr>
          <w:color w:val="000000"/>
        </w:rPr>
        <w:t>je pokryto z odvodů na Jaderný účet.</w:t>
      </w:r>
      <w:r>
        <w:rPr>
          <w:color w:val="000000"/>
        </w:rPr>
        <w:t xml:space="preserve"> </w:t>
      </w:r>
      <w:r w:rsidRPr="003B5EF4">
        <w:rPr>
          <w:color w:val="000000"/>
        </w:rPr>
        <w:t xml:space="preserve">Jestliže odhad nákladů na vyřazování přesahuje 1 mld. Kč, pak je provozovatel </w:t>
      </w:r>
      <w:r>
        <w:rPr>
          <w:color w:val="000000"/>
        </w:rPr>
        <w:t xml:space="preserve">jaderného zdroje </w:t>
      </w:r>
      <w:r w:rsidRPr="003B5EF4">
        <w:rPr>
          <w:color w:val="000000"/>
        </w:rPr>
        <w:t>povinen ukládat prostředky rezervy na zvláštním vázaném účtu banky se sídlem na území ČR.</w:t>
      </w:r>
      <w:r>
        <w:rPr>
          <w:color w:val="000000"/>
        </w:rPr>
        <w:t xml:space="preserve"> </w:t>
      </w:r>
      <w:r w:rsidRPr="003B5EF4">
        <w:rPr>
          <w:color w:val="000000"/>
        </w:rPr>
        <w:t>V takovém případě už se tedy nejedná o rezervu v účetním slova smyslu, neboť v účetnictví je</w:t>
      </w:r>
      <w:r>
        <w:rPr>
          <w:color w:val="000000"/>
        </w:rPr>
        <w:t xml:space="preserve"> </w:t>
      </w:r>
      <w:r w:rsidRPr="003B5EF4">
        <w:rPr>
          <w:color w:val="000000"/>
        </w:rPr>
        <w:t>rezerva nespecifikovanou částí aktiv. Zde však mají prostředky rezervy skutečně peněžní</w:t>
      </w:r>
      <w:r>
        <w:rPr>
          <w:color w:val="000000"/>
        </w:rPr>
        <w:t xml:space="preserve"> </w:t>
      </w:r>
      <w:r w:rsidRPr="003B5EF4">
        <w:rPr>
          <w:color w:val="000000"/>
        </w:rPr>
        <w:t>význam. S prostředky na vázaném účtu je majitel účtu oprávněn manipulovat výhradně se</w:t>
      </w:r>
      <w:r>
        <w:rPr>
          <w:color w:val="000000"/>
        </w:rPr>
        <w:t xml:space="preserve"> </w:t>
      </w:r>
      <w:r w:rsidRPr="003B5EF4">
        <w:rPr>
          <w:color w:val="000000"/>
        </w:rPr>
        <w:t>souhlasem příslušného úřadu – v případě rezerv na vyřazování je příslušným úřadem SÚRAO.</w:t>
      </w:r>
    </w:p>
    <w:p w:rsidR="00C43F39" w:rsidRDefault="00C43F39" w:rsidP="00C43F39">
      <w:pPr>
        <w:spacing w:after="240"/>
        <w:jc w:val="both"/>
      </w:pPr>
      <w:r w:rsidRPr="00AC25AB">
        <w:t xml:space="preserve">Držitelé povolení jsou </w:t>
      </w:r>
      <w:r>
        <w:t xml:space="preserve">tedy </w:t>
      </w:r>
      <w:r w:rsidRPr="00AC25AB">
        <w:t>povinni vytvářet finanční rezervy pro zajištění vyřazování jaderných zařízení nebo pracovišť s významnými nebo velmi významnými zdroji ionizujícího záření z provozu. Peněžní prostředky musí být k dispozici pro potřeby přípravy a realizace vyřazování z provozu v</w:t>
      </w:r>
      <w:r>
        <w:t> </w:t>
      </w:r>
      <w:r w:rsidRPr="00AC25AB">
        <w:t>potřebném čase a výši, v souladu s harmonogramem postupu schváleným SÚJB a technologií vyřazování. Náklady na vyřazování ověřuje SÚRAO a držitelé povolení jsou povinni v pětiletých intervalech v souladu s příslušnou vyhláškou tyto odhady aktualizovat. Aktualizace zpřesňuje odhad nákladů a zahrnuje pohyb cenové hladiny za uplynulé</w:t>
      </w:r>
      <w:r w:rsidR="0002418C">
        <w:t xml:space="preserve"> pětileté období.</w:t>
      </w:r>
    </w:p>
    <w:p w:rsidR="00C43F39" w:rsidRDefault="0002418C" w:rsidP="00C43F39">
      <w:pPr>
        <w:spacing w:after="240"/>
        <w:jc w:val="both"/>
      </w:pPr>
      <w:r>
        <w:t>V České r</w:t>
      </w:r>
      <w:r w:rsidR="00C43F39">
        <w:t>epublice je pro tvorbu odhadu nákladů uplatňován všeobecně přijímaný deterministický přístup na základě seznamu „Standard List“. Ocenění jednotlivých činností je založeno na základě ceníků dodavatelských firem, katalogových cenách a expertních odhadech. V případě expertních odhadů se může vycházet ze zkušeností získaných při vyřa</w:t>
      </w:r>
      <w:r>
        <w:t>zování jiných jaderných zdrojů.</w:t>
      </w:r>
    </w:p>
    <w:p w:rsidR="00C43F39" w:rsidRDefault="00C43F39" w:rsidP="00C43F39">
      <w:pPr>
        <w:spacing w:after="240"/>
        <w:jc w:val="both"/>
      </w:pPr>
      <w:r>
        <w:t xml:space="preserve">Odhad nákladů se aktualizuje každých pět let. Například Návrh způsobu vyřazování jaderného zařízení z provozu pro </w:t>
      </w:r>
      <w:proofErr w:type="gramStart"/>
      <w:r>
        <w:t>JE</w:t>
      </w:r>
      <w:proofErr w:type="gramEnd"/>
      <w:r>
        <w:t xml:space="preserve"> Temelín z roku 2009 je vypracováván ve třech variantách (v cenách roku 2009):</w:t>
      </w:r>
    </w:p>
    <w:p w:rsidR="00C43F39" w:rsidRDefault="00C43F39" w:rsidP="00876EF9">
      <w:pPr>
        <w:pStyle w:val="Odstavecseseznamem"/>
        <w:numPr>
          <w:ilvl w:val="0"/>
          <w:numId w:val="89"/>
        </w:numPr>
        <w:spacing w:after="240"/>
        <w:ind w:left="714" w:hanging="357"/>
        <w:jc w:val="both"/>
      </w:pPr>
      <w:r>
        <w:t>okamžité vyřazování - datum ukončení vyřazování 2065, náklady na vyřazování 13 712 milionů Kč;</w:t>
      </w:r>
    </w:p>
    <w:p w:rsidR="00C43F39" w:rsidRDefault="00C43F39" w:rsidP="00876EF9">
      <w:pPr>
        <w:pStyle w:val="Odstavecseseznamem"/>
        <w:numPr>
          <w:ilvl w:val="0"/>
          <w:numId w:val="89"/>
        </w:numPr>
        <w:spacing w:after="240"/>
        <w:ind w:left="714" w:hanging="357"/>
        <w:jc w:val="both"/>
      </w:pPr>
      <w:r>
        <w:lastRenderedPageBreak/>
        <w:t>odložené vyřazování - ochranné uzavření, datum ukončení vyřazování 2087, náklady na vyřazování 12 794 milionů Kč;</w:t>
      </w:r>
    </w:p>
    <w:p w:rsidR="00C43F39" w:rsidRDefault="00C43F39" w:rsidP="00876EF9">
      <w:pPr>
        <w:pStyle w:val="Odstavecseseznamem"/>
        <w:numPr>
          <w:ilvl w:val="0"/>
          <w:numId w:val="89"/>
        </w:numPr>
        <w:spacing w:after="240"/>
        <w:ind w:left="714" w:hanging="357"/>
        <w:jc w:val="both"/>
      </w:pPr>
      <w:r>
        <w:t>odložené vyřazování - ochranné uzavření aktivních objektů, datum ukončení vyřazování 2091, náklady na vyřazování 14 579 milionů Kč.</w:t>
      </w:r>
    </w:p>
    <w:p w:rsidR="00C43F39" w:rsidRDefault="00C43F39" w:rsidP="00C43F39">
      <w:pPr>
        <w:spacing w:after="240"/>
        <w:jc w:val="both"/>
      </w:pPr>
      <w:r>
        <w:t>Preferovanou variantou je varianta c) odložené vyřazování s ukončením vyřazování v roce 2091 s tím, že v případě změny strategie bude vytvořená rezerva dostačující i pro zbývající dvě varianty.</w:t>
      </w:r>
    </w:p>
    <w:p w:rsidR="005865D5" w:rsidRDefault="00C43F39" w:rsidP="00C43F39">
      <w:pPr>
        <w:spacing w:after="240"/>
        <w:jc w:val="both"/>
      </w:pPr>
      <w:r w:rsidRPr="00AC25AB">
        <w:t>Souhrnný přehled výše rezerv na vyřazování</w:t>
      </w:r>
      <w:r w:rsidR="00C223D0">
        <w:t xml:space="preserve"> uvádí </w:t>
      </w:r>
      <w:r w:rsidR="00C223D0">
        <w:fldChar w:fldCharType="begin"/>
      </w:r>
      <w:r w:rsidR="00C223D0">
        <w:instrText xml:space="preserve"> REF _Ref408845685 \h </w:instrText>
      </w:r>
      <w:r w:rsidR="00C223D0">
        <w:fldChar w:fldCharType="separate"/>
      </w:r>
      <w:r w:rsidR="007B491F" w:rsidRPr="00C223D0">
        <w:t xml:space="preserve">Tabulka č. </w:t>
      </w:r>
      <w:r w:rsidR="007B491F">
        <w:rPr>
          <w:noProof/>
        </w:rPr>
        <w:t>6</w:t>
      </w:r>
      <w:r w:rsidR="00C223D0">
        <w:fldChar w:fldCharType="end"/>
      </w:r>
      <w:r w:rsidRPr="00AC25AB">
        <w:t xml:space="preserve"> (v mil. Kč v cenách roku zpracování aktualizovaného odhadu).</w:t>
      </w:r>
    </w:p>
    <w:p w:rsidR="00C223D0" w:rsidRDefault="00C223D0" w:rsidP="00C223D0">
      <w:pPr>
        <w:pStyle w:val="Titulek"/>
        <w:keepNext/>
      </w:pPr>
      <w:bookmarkStart w:id="121" w:name="_Ref408845685"/>
      <w:bookmarkStart w:id="122" w:name="_Toc420058310"/>
      <w:r w:rsidRPr="00C223D0">
        <w:rPr>
          <w:color w:val="auto"/>
          <w:sz w:val="22"/>
          <w:szCs w:val="22"/>
        </w:rPr>
        <w:t xml:space="preserve">Tabulka č. </w:t>
      </w:r>
      <w:r w:rsidRPr="00C223D0">
        <w:rPr>
          <w:color w:val="auto"/>
          <w:sz w:val="22"/>
          <w:szCs w:val="22"/>
        </w:rPr>
        <w:fldChar w:fldCharType="begin"/>
      </w:r>
      <w:r w:rsidRPr="00C223D0">
        <w:rPr>
          <w:color w:val="auto"/>
          <w:sz w:val="22"/>
          <w:szCs w:val="22"/>
        </w:rPr>
        <w:instrText xml:space="preserve"> SEQ Tabulka_č. \* ARABIC </w:instrText>
      </w:r>
      <w:r w:rsidRPr="00C223D0">
        <w:rPr>
          <w:color w:val="auto"/>
          <w:sz w:val="22"/>
          <w:szCs w:val="22"/>
        </w:rPr>
        <w:fldChar w:fldCharType="separate"/>
      </w:r>
      <w:r w:rsidR="00FE1E1A">
        <w:rPr>
          <w:noProof/>
          <w:color w:val="auto"/>
          <w:sz w:val="22"/>
          <w:szCs w:val="22"/>
        </w:rPr>
        <w:t>6</w:t>
      </w:r>
      <w:r w:rsidRPr="00C223D0">
        <w:rPr>
          <w:color w:val="auto"/>
          <w:sz w:val="22"/>
          <w:szCs w:val="22"/>
        </w:rPr>
        <w:fldChar w:fldCharType="end"/>
      </w:r>
      <w:bookmarkEnd w:id="121"/>
      <w:r w:rsidRPr="00C223D0">
        <w:rPr>
          <w:color w:val="auto"/>
          <w:sz w:val="22"/>
          <w:szCs w:val="22"/>
        </w:rPr>
        <w:t xml:space="preserve">: </w:t>
      </w:r>
      <w:r w:rsidRPr="00C223D0">
        <w:rPr>
          <w:b w:val="0"/>
          <w:i/>
          <w:color w:val="auto"/>
          <w:sz w:val="22"/>
          <w:szCs w:val="22"/>
        </w:rPr>
        <w:t>Přehled nákladů na vyřazování</w:t>
      </w:r>
      <w:bookmarkEnd w:id="122"/>
    </w:p>
    <w:tbl>
      <w:tblPr>
        <w:tblW w:w="0" w:type="auto"/>
        <w:jc w:val="center"/>
        <w:tblCellMar>
          <w:left w:w="0" w:type="dxa"/>
          <w:right w:w="0" w:type="dxa"/>
        </w:tblCellMar>
        <w:tblLook w:val="04A0" w:firstRow="1" w:lastRow="0" w:firstColumn="1" w:lastColumn="0" w:noHBand="0" w:noVBand="1"/>
      </w:tblPr>
      <w:tblGrid>
        <w:gridCol w:w="5032"/>
        <w:gridCol w:w="1771"/>
      </w:tblGrid>
      <w:tr w:rsidR="005865D5" w:rsidRPr="00AC25AB" w:rsidTr="00491ABA">
        <w:trPr>
          <w:jc w:val="center"/>
        </w:trPr>
        <w:tc>
          <w:tcPr>
            <w:tcW w:w="5032" w:type="dxa"/>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70" w:type="dxa"/>
              <w:bottom w:w="0" w:type="dxa"/>
              <w:right w:w="70" w:type="dxa"/>
            </w:tcMar>
          </w:tcPr>
          <w:p w:rsidR="005865D5" w:rsidRPr="005865D5" w:rsidRDefault="005865D5" w:rsidP="005865D5">
            <w:pPr>
              <w:spacing w:after="0"/>
              <w:rPr>
                <w:b/>
              </w:rPr>
            </w:pPr>
            <w:r w:rsidRPr="005865D5">
              <w:rPr>
                <w:b/>
              </w:rPr>
              <w:t>Náklady na vyřazování</w:t>
            </w:r>
          </w:p>
        </w:tc>
        <w:tc>
          <w:tcPr>
            <w:tcW w:w="1771" w:type="dxa"/>
            <w:tcBorders>
              <w:top w:val="single" w:sz="12" w:space="0" w:color="auto"/>
              <w:left w:val="single" w:sz="8" w:space="0" w:color="auto"/>
              <w:bottom w:val="single" w:sz="12" w:space="0" w:color="auto"/>
              <w:right w:val="single" w:sz="12" w:space="0" w:color="auto"/>
            </w:tcBorders>
            <w:shd w:val="clear" w:color="auto" w:fill="B8CCE4" w:themeFill="accent1" w:themeFillTint="66"/>
            <w:tcMar>
              <w:top w:w="0" w:type="dxa"/>
              <w:left w:w="70" w:type="dxa"/>
              <w:bottom w:w="0" w:type="dxa"/>
              <w:right w:w="70" w:type="dxa"/>
            </w:tcMar>
            <w:vAlign w:val="center"/>
          </w:tcPr>
          <w:p w:rsidR="005865D5" w:rsidRPr="005865D5" w:rsidRDefault="005865D5" w:rsidP="005865D5">
            <w:pPr>
              <w:spacing w:after="0"/>
              <w:jc w:val="center"/>
              <w:rPr>
                <w:b/>
              </w:rPr>
            </w:pPr>
            <w:r w:rsidRPr="005865D5">
              <w:rPr>
                <w:b/>
              </w:rPr>
              <w:t>Částka</w:t>
            </w:r>
            <w:r w:rsidR="00E64D47">
              <w:rPr>
                <w:rFonts w:cs="Arial"/>
                <w:b/>
              </w:rPr>
              <w:t xml:space="preserve"> </w:t>
            </w:r>
            <w:r w:rsidR="00E64D47">
              <w:rPr>
                <w:rFonts w:cs="Arial"/>
                <w:b/>
                <w:lang w:val="en-US"/>
              </w:rPr>
              <w:t xml:space="preserve">[mil. </w:t>
            </w:r>
            <w:proofErr w:type="spellStart"/>
            <w:r w:rsidR="00E64D47">
              <w:rPr>
                <w:rFonts w:cs="Arial"/>
                <w:b/>
                <w:lang w:val="en-US"/>
              </w:rPr>
              <w:t>Kč</w:t>
            </w:r>
            <w:proofErr w:type="spellEnd"/>
            <w:r w:rsidR="00E64D47">
              <w:rPr>
                <w:rFonts w:cs="Arial"/>
                <w:b/>
                <w:lang w:val="en-US"/>
              </w:rPr>
              <w:t>]</w:t>
            </w:r>
          </w:p>
        </w:tc>
      </w:tr>
      <w:tr w:rsidR="00C43F39" w:rsidRPr="00AC25AB" w:rsidTr="00491ABA">
        <w:trPr>
          <w:jc w:val="center"/>
        </w:trPr>
        <w:tc>
          <w:tcPr>
            <w:tcW w:w="5032" w:type="dxa"/>
            <w:tcBorders>
              <w:top w:val="single" w:sz="12" w:space="0" w:color="auto"/>
              <w:left w:val="single" w:sz="12" w:space="0" w:color="auto"/>
              <w:bottom w:val="dotted" w:sz="4" w:space="0" w:color="808080" w:themeColor="background1" w:themeShade="80"/>
              <w:right w:val="single" w:sz="8" w:space="0" w:color="auto"/>
            </w:tcBorders>
            <w:tcMar>
              <w:top w:w="0" w:type="dxa"/>
              <w:left w:w="70" w:type="dxa"/>
              <w:bottom w:w="0" w:type="dxa"/>
              <w:right w:w="70" w:type="dxa"/>
            </w:tcMar>
            <w:hideMark/>
          </w:tcPr>
          <w:p w:rsidR="00C43F39" w:rsidRPr="00AC25AB" w:rsidRDefault="00C43F39" w:rsidP="005865D5">
            <w:pPr>
              <w:spacing w:after="0"/>
            </w:pPr>
            <w:r w:rsidRPr="00AC25AB">
              <w:t>Rezerva na vyřazování JE Dukovany (2012)</w:t>
            </w:r>
          </w:p>
        </w:tc>
        <w:tc>
          <w:tcPr>
            <w:tcW w:w="1771" w:type="dxa"/>
            <w:tcBorders>
              <w:top w:val="single" w:sz="12" w:space="0" w:color="auto"/>
              <w:left w:val="single" w:sz="8" w:space="0" w:color="auto"/>
              <w:bottom w:val="dotted" w:sz="4" w:space="0" w:color="808080" w:themeColor="background1" w:themeShade="80"/>
              <w:right w:val="single" w:sz="12" w:space="0" w:color="auto"/>
            </w:tcBorders>
            <w:tcMar>
              <w:top w:w="0" w:type="dxa"/>
              <w:left w:w="70" w:type="dxa"/>
              <w:bottom w:w="0" w:type="dxa"/>
              <w:right w:w="70" w:type="dxa"/>
            </w:tcMar>
            <w:vAlign w:val="center"/>
            <w:hideMark/>
          </w:tcPr>
          <w:p w:rsidR="00C43F39" w:rsidRPr="00AC25AB" w:rsidRDefault="00C43F39" w:rsidP="005865D5">
            <w:pPr>
              <w:spacing w:after="0"/>
              <w:jc w:val="center"/>
            </w:pPr>
            <w:r w:rsidRPr="00AC25AB">
              <w:t>22 355</w:t>
            </w:r>
          </w:p>
        </w:tc>
      </w:tr>
      <w:tr w:rsidR="00C43F39" w:rsidRPr="00AC25AB" w:rsidTr="00491ABA">
        <w:trPr>
          <w:jc w:val="center"/>
        </w:trPr>
        <w:tc>
          <w:tcPr>
            <w:tcW w:w="5032"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70" w:type="dxa"/>
              <w:bottom w:w="0" w:type="dxa"/>
              <w:right w:w="70" w:type="dxa"/>
            </w:tcMar>
            <w:hideMark/>
          </w:tcPr>
          <w:p w:rsidR="00C43F39" w:rsidRPr="00AC25AB" w:rsidRDefault="00C43F39" w:rsidP="005865D5">
            <w:pPr>
              <w:spacing w:after="0"/>
            </w:pPr>
            <w:r w:rsidRPr="00AC25AB">
              <w:t>Rezerva na vyřazování JE Temelín (2009)</w:t>
            </w:r>
          </w:p>
        </w:tc>
        <w:tc>
          <w:tcPr>
            <w:tcW w:w="1771"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70" w:type="dxa"/>
              <w:bottom w:w="0" w:type="dxa"/>
              <w:right w:w="70" w:type="dxa"/>
            </w:tcMar>
            <w:vAlign w:val="center"/>
            <w:hideMark/>
          </w:tcPr>
          <w:p w:rsidR="00C43F39" w:rsidRPr="00AC25AB" w:rsidRDefault="00C43F39" w:rsidP="005865D5">
            <w:pPr>
              <w:spacing w:after="0"/>
              <w:jc w:val="center"/>
            </w:pPr>
            <w:r w:rsidRPr="00AC25AB">
              <w:t>14 579</w:t>
            </w:r>
          </w:p>
        </w:tc>
      </w:tr>
      <w:tr w:rsidR="00C43F39" w:rsidRPr="00AC25AB" w:rsidTr="00491ABA">
        <w:trPr>
          <w:jc w:val="center"/>
        </w:trPr>
        <w:tc>
          <w:tcPr>
            <w:tcW w:w="5032"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70" w:type="dxa"/>
              <w:bottom w:w="0" w:type="dxa"/>
              <w:right w:w="70" w:type="dxa"/>
            </w:tcMar>
            <w:hideMark/>
          </w:tcPr>
          <w:p w:rsidR="00C43F39" w:rsidRPr="00AC25AB" w:rsidRDefault="00C43F39" w:rsidP="005865D5">
            <w:pPr>
              <w:spacing w:after="0"/>
            </w:pPr>
            <w:r w:rsidRPr="00AC25AB">
              <w:t>Rezervy na vyřazování skladů VJP (2010)</w:t>
            </w:r>
          </w:p>
        </w:tc>
        <w:tc>
          <w:tcPr>
            <w:tcW w:w="1771"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70" w:type="dxa"/>
              <w:bottom w:w="0" w:type="dxa"/>
              <w:right w:w="70" w:type="dxa"/>
            </w:tcMar>
            <w:vAlign w:val="center"/>
            <w:hideMark/>
          </w:tcPr>
          <w:p w:rsidR="00C43F39" w:rsidRPr="00AC25AB" w:rsidRDefault="00C43F39" w:rsidP="005865D5">
            <w:pPr>
              <w:spacing w:after="0"/>
              <w:jc w:val="center"/>
            </w:pPr>
            <w:r w:rsidRPr="00AC25AB">
              <w:t>46</w:t>
            </w:r>
          </w:p>
        </w:tc>
      </w:tr>
      <w:tr w:rsidR="00C43F39" w:rsidTr="00491ABA">
        <w:trPr>
          <w:jc w:val="center"/>
        </w:trPr>
        <w:tc>
          <w:tcPr>
            <w:tcW w:w="5032" w:type="dxa"/>
            <w:tcBorders>
              <w:top w:val="dotted" w:sz="4" w:space="0" w:color="808080" w:themeColor="background1" w:themeShade="80"/>
              <w:left w:val="single" w:sz="12" w:space="0" w:color="auto"/>
              <w:bottom w:val="thinThickSmallGap" w:sz="24" w:space="0" w:color="auto"/>
              <w:right w:val="single" w:sz="8" w:space="0" w:color="auto"/>
            </w:tcBorders>
            <w:tcMar>
              <w:top w:w="0" w:type="dxa"/>
              <w:left w:w="70" w:type="dxa"/>
              <w:bottom w:w="0" w:type="dxa"/>
              <w:right w:w="70" w:type="dxa"/>
            </w:tcMar>
            <w:hideMark/>
          </w:tcPr>
          <w:p w:rsidR="00C43F39" w:rsidRPr="00AC25AB" w:rsidRDefault="00C43F39" w:rsidP="005865D5">
            <w:pPr>
              <w:spacing w:after="0"/>
            </w:pPr>
            <w:r w:rsidRPr="00AC25AB">
              <w:t>Ostatní rezervy na vyřazování (2012)</w:t>
            </w:r>
          </w:p>
        </w:tc>
        <w:tc>
          <w:tcPr>
            <w:tcW w:w="1771" w:type="dxa"/>
            <w:tcBorders>
              <w:top w:val="dotted" w:sz="4" w:space="0" w:color="808080" w:themeColor="background1" w:themeShade="80"/>
              <w:left w:val="single" w:sz="8" w:space="0" w:color="auto"/>
              <w:bottom w:val="thinThickSmallGap" w:sz="24" w:space="0" w:color="auto"/>
              <w:right w:val="single" w:sz="12" w:space="0" w:color="auto"/>
            </w:tcBorders>
            <w:tcMar>
              <w:top w:w="0" w:type="dxa"/>
              <w:left w:w="70" w:type="dxa"/>
              <w:bottom w:w="0" w:type="dxa"/>
              <w:right w:w="70" w:type="dxa"/>
            </w:tcMar>
            <w:vAlign w:val="center"/>
            <w:hideMark/>
          </w:tcPr>
          <w:p w:rsidR="00C43F39" w:rsidRDefault="00C43F39" w:rsidP="005865D5">
            <w:pPr>
              <w:spacing w:after="0"/>
              <w:jc w:val="center"/>
            </w:pPr>
            <w:r w:rsidRPr="00AC25AB">
              <w:t>470</w:t>
            </w:r>
          </w:p>
        </w:tc>
      </w:tr>
    </w:tbl>
    <w:p w:rsidR="00DB6DBA" w:rsidRPr="000C3D7B" w:rsidRDefault="00DB6DBA" w:rsidP="00C223D0">
      <w:pPr>
        <w:pStyle w:val="Nadpis2"/>
        <w:spacing w:before="200"/>
        <w:ind w:left="578" w:hanging="578"/>
      </w:pPr>
      <w:bookmarkStart w:id="123" w:name="_Toc420056005"/>
      <w:bookmarkStart w:id="124" w:name="_Toc407035556"/>
      <w:r>
        <w:t>Jednoznačné definování odpovědnosti za jaderné škody</w:t>
      </w:r>
      <w:bookmarkEnd w:id="123"/>
      <w:r w:rsidRPr="000C3D7B">
        <w:t xml:space="preserve"> </w:t>
      </w:r>
      <w:bookmarkEnd w:id="124"/>
    </w:p>
    <w:p w:rsidR="00DB6DBA" w:rsidRDefault="00DB6DBA" w:rsidP="00DB6DBA">
      <w:pPr>
        <w:spacing w:after="120"/>
        <w:jc w:val="both"/>
      </w:pPr>
      <w:r>
        <w:t xml:space="preserve">Režim odpovědnosti za škody způsobené v souvislosti s mírovým využíváním jaderné energie pro energetické (resp. neenergetické) účely (tzv. „odpovědnost za jaderné škody“) má ve srovnání s obecným režimem odpovědnosti za škody způsobené provozem zvláště nebezpečným řadu specifik, ze kterých jsou nejdůležitější následující: </w:t>
      </w:r>
    </w:p>
    <w:p w:rsidR="00DB6DBA" w:rsidRDefault="00DB6DBA" w:rsidP="00876EF9">
      <w:pPr>
        <w:pStyle w:val="Odstavecseseznamem"/>
        <w:numPr>
          <w:ilvl w:val="0"/>
          <w:numId w:val="37"/>
        </w:numPr>
        <w:ind w:left="714" w:hanging="357"/>
        <w:jc w:val="both"/>
      </w:pPr>
      <w:r>
        <w:t>vychází se z toho, že případná škodová událost v jaderném zařízení by měla nejenom vnitrostátní, ale ve většině případů i regionální (přeshraniční) dopad, mezinárodní společenství států tedy cítí nutnost upravit odpovědnostní režim ve formě mnohostranným (multilaterálních) mezinárodních úmluv,</w:t>
      </w:r>
    </w:p>
    <w:p w:rsidR="00DB6DBA" w:rsidRDefault="00DB6DBA" w:rsidP="00876EF9">
      <w:pPr>
        <w:pStyle w:val="Odstavecseseznamem"/>
        <w:numPr>
          <w:ilvl w:val="0"/>
          <w:numId w:val="37"/>
        </w:numPr>
        <w:ind w:left="714" w:hanging="357"/>
        <w:jc w:val="both"/>
      </w:pPr>
      <w:r>
        <w:t xml:space="preserve">na procesu mírového využívání jaderné energie participuje celá řada subjektů (dodavatel technologií, zhotovitel stavby, dodavatel jaderného paliva, provozovatel jaderného zařízení), přičemž je zapotřebí jasně stanovit, který subjekt bude v případě škodové události odpovědný, </w:t>
      </w:r>
    </w:p>
    <w:p w:rsidR="00DB6DBA" w:rsidRDefault="00DB6DBA" w:rsidP="00876EF9">
      <w:pPr>
        <w:pStyle w:val="Odstavecseseznamem"/>
        <w:numPr>
          <w:ilvl w:val="0"/>
          <w:numId w:val="37"/>
        </w:numPr>
        <w:ind w:left="714" w:hanging="357"/>
        <w:jc w:val="both"/>
      </w:pPr>
      <w:r>
        <w:t xml:space="preserve">odpovědnost za škody musí být odpovídajícím způsobem pojištěna, resp. jinak finančně zajištěna, </w:t>
      </w:r>
    </w:p>
    <w:p w:rsidR="00DB6DBA" w:rsidRDefault="00DB6DBA" w:rsidP="00876EF9">
      <w:pPr>
        <w:pStyle w:val="Odstavecseseznamem"/>
        <w:numPr>
          <w:ilvl w:val="0"/>
          <w:numId w:val="37"/>
        </w:numPr>
        <w:ind w:left="714" w:hanging="357"/>
        <w:jc w:val="both"/>
      </w:pPr>
      <w:r>
        <w:t>s ohledem na přeshraniční charakter možných škod je zapotřebí upravit pravidla soudní příslušnosti (tj. který soud bude příslušný k rozhodování o žalobách na náhradu škody),</w:t>
      </w:r>
    </w:p>
    <w:p w:rsidR="00DB6DBA" w:rsidRDefault="00DB6DBA" w:rsidP="0044189F">
      <w:pPr>
        <w:pStyle w:val="Odstavecseseznamem"/>
        <w:numPr>
          <w:ilvl w:val="0"/>
          <w:numId w:val="37"/>
        </w:numPr>
        <w:ind w:left="714" w:hanging="357"/>
        <w:jc w:val="both"/>
      </w:pPr>
      <w:r>
        <w:t xml:space="preserve">dále je třeba stanovit, v jaké lhůtě se mají poškozené subjekty obrátit na soud se svým nárokem na náhradu škody, </w:t>
      </w:r>
    </w:p>
    <w:p w:rsidR="00DB6DBA" w:rsidRDefault="00DB6DBA" w:rsidP="0044189F">
      <w:pPr>
        <w:pStyle w:val="Odstavecseseznamem"/>
        <w:numPr>
          <w:ilvl w:val="0"/>
          <w:numId w:val="37"/>
        </w:numPr>
        <w:spacing w:after="120"/>
        <w:ind w:left="714" w:hanging="357"/>
        <w:jc w:val="both"/>
      </w:pPr>
      <w:r>
        <w:t>stát identifikuje sektor mírového využívání jaderné energie jako klíčový segment národního hospodářství, proto do odpovědnostních vztahů vstupuje jak limitací odpovědnosti provo</w:t>
      </w:r>
      <w:r w:rsidR="00CD2346">
        <w:t>zovatele (která ve svém důsledku</w:t>
      </w:r>
      <w:r>
        <w:t xml:space="preserve"> chrání provozovatele před rizikem finančně ruinujících žalob), tak i svými vlastními zárukami (které chrání poškozené subjekty před rizikem neúplné kompenzace za vzniklé škody). </w:t>
      </w:r>
    </w:p>
    <w:p w:rsidR="00DB6DBA" w:rsidRDefault="00DB6DBA" w:rsidP="00DB6DBA">
      <w:pPr>
        <w:spacing w:after="120"/>
        <w:jc w:val="both"/>
      </w:pPr>
      <w:r>
        <w:lastRenderedPageBreak/>
        <w:t xml:space="preserve">Výše uvedené důvody vedly mezinárodní společenství států již před r. 1986 k přijetí řady multilaterálních mezinárodních smluv. Těmi jsou (tzv. mezinárodní smlouvy „první generace“): </w:t>
      </w:r>
    </w:p>
    <w:p w:rsidR="00DB6DBA" w:rsidRDefault="00DB6DBA" w:rsidP="0044189F">
      <w:pPr>
        <w:pStyle w:val="Odstavecseseznamem"/>
        <w:numPr>
          <w:ilvl w:val="0"/>
          <w:numId w:val="38"/>
        </w:numPr>
        <w:spacing w:after="0"/>
        <w:ind w:left="714" w:hanging="357"/>
        <w:jc w:val="both"/>
      </w:pPr>
      <w:r w:rsidRPr="008F53CE">
        <w:t>Pařížská úmluva o odpovědnosti za škody v jaderné energetice z r. 1960 (</w:t>
      </w:r>
      <w:proofErr w:type="spellStart"/>
      <w:r w:rsidRPr="0074748F">
        <w:rPr>
          <w:i/>
        </w:rPr>
        <w:t>Convention</w:t>
      </w:r>
      <w:proofErr w:type="spellEnd"/>
      <w:r w:rsidRPr="0074748F">
        <w:rPr>
          <w:i/>
        </w:rPr>
        <w:t xml:space="preserve"> on </w:t>
      </w:r>
      <w:proofErr w:type="spellStart"/>
      <w:r w:rsidRPr="0074748F">
        <w:rPr>
          <w:i/>
        </w:rPr>
        <w:t>Third</w:t>
      </w:r>
      <w:proofErr w:type="spellEnd"/>
      <w:r w:rsidRPr="0074748F">
        <w:rPr>
          <w:i/>
        </w:rPr>
        <w:t xml:space="preserve"> Party </w:t>
      </w:r>
      <w:proofErr w:type="spellStart"/>
      <w:r w:rsidRPr="0074748F">
        <w:rPr>
          <w:i/>
        </w:rPr>
        <w:t>Liability</w:t>
      </w:r>
      <w:proofErr w:type="spellEnd"/>
      <w:r w:rsidRPr="0074748F">
        <w:rPr>
          <w:i/>
        </w:rPr>
        <w:t xml:space="preserve"> in </w:t>
      </w:r>
      <w:proofErr w:type="spellStart"/>
      <w:r w:rsidRPr="0074748F">
        <w:rPr>
          <w:i/>
        </w:rPr>
        <w:t>the</w:t>
      </w:r>
      <w:proofErr w:type="spellEnd"/>
      <w:r w:rsidRPr="0074748F">
        <w:rPr>
          <w:i/>
        </w:rPr>
        <w:t xml:space="preserve"> </w:t>
      </w:r>
      <w:proofErr w:type="spellStart"/>
      <w:r w:rsidRPr="0074748F">
        <w:rPr>
          <w:i/>
        </w:rPr>
        <w:t>Field</w:t>
      </w:r>
      <w:proofErr w:type="spellEnd"/>
      <w:r w:rsidRPr="0074748F">
        <w:rPr>
          <w:i/>
        </w:rPr>
        <w:t xml:space="preserve"> </w:t>
      </w:r>
      <w:proofErr w:type="spellStart"/>
      <w:r w:rsidRPr="0074748F">
        <w:rPr>
          <w:i/>
        </w:rPr>
        <w:t>of</w:t>
      </w:r>
      <w:proofErr w:type="spellEnd"/>
      <w:r w:rsidRPr="0074748F">
        <w:rPr>
          <w:i/>
        </w:rPr>
        <w:t xml:space="preserve"> </w:t>
      </w:r>
      <w:proofErr w:type="spellStart"/>
      <w:r w:rsidRPr="0074748F">
        <w:rPr>
          <w:i/>
        </w:rPr>
        <w:t>Nuclear</w:t>
      </w:r>
      <w:proofErr w:type="spellEnd"/>
      <w:r w:rsidRPr="0074748F">
        <w:rPr>
          <w:i/>
        </w:rPr>
        <w:t xml:space="preserve"> </w:t>
      </w:r>
      <w:proofErr w:type="spellStart"/>
      <w:r w:rsidRPr="0074748F">
        <w:rPr>
          <w:i/>
        </w:rPr>
        <w:t>Energy</w:t>
      </w:r>
      <w:proofErr w:type="spellEnd"/>
      <w:r w:rsidRPr="008F53CE">
        <w:t>), přijatá pod gescí Organizace pro evropskou hospodářskou spolupráci jako regionální západoevropská odpovědnos</w:t>
      </w:r>
      <w:r>
        <w:t>tní úmluva</w:t>
      </w:r>
      <w:r w:rsidRPr="008F53CE">
        <w:t>,</w:t>
      </w:r>
    </w:p>
    <w:p w:rsidR="00DB6DBA" w:rsidRDefault="00DB6DBA" w:rsidP="0044189F">
      <w:pPr>
        <w:pStyle w:val="Odstavecseseznamem"/>
        <w:numPr>
          <w:ilvl w:val="0"/>
          <w:numId w:val="38"/>
        </w:numPr>
        <w:spacing w:after="0"/>
        <w:ind w:left="714" w:hanging="357"/>
        <w:jc w:val="both"/>
      </w:pPr>
      <w:r w:rsidRPr="008F53CE">
        <w:t>Bruselská úmluva z r. 1963, kterou se doplňuje Pařížská úmluva z r. 1960 (</w:t>
      </w:r>
      <w:proofErr w:type="spellStart"/>
      <w:r w:rsidRPr="0074748F">
        <w:rPr>
          <w:i/>
          <w:iCs/>
        </w:rPr>
        <w:t>Convention</w:t>
      </w:r>
      <w:proofErr w:type="spellEnd"/>
      <w:r w:rsidRPr="0074748F">
        <w:rPr>
          <w:i/>
          <w:iCs/>
        </w:rPr>
        <w:t xml:space="preserve"> </w:t>
      </w:r>
      <w:proofErr w:type="spellStart"/>
      <w:r w:rsidRPr="0074748F">
        <w:rPr>
          <w:i/>
          <w:iCs/>
        </w:rPr>
        <w:t>Supplementary</w:t>
      </w:r>
      <w:proofErr w:type="spellEnd"/>
      <w:r w:rsidRPr="0074748F">
        <w:rPr>
          <w:i/>
          <w:iCs/>
        </w:rPr>
        <w:t xml:space="preserve"> to </w:t>
      </w:r>
      <w:proofErr w:type="spellStart"/>
      <w:r w:rsidRPr="0074748F">
        <w:rPr>
          <w:i/>
          <w:iCs/>
        </w:rPr>
        <w:t>the</w:t>
      </w:r>
      <w:proofErr w:type="spellEnd"/>
      <w:r w:rsidRPr="0074748F">
        <w:rPr>
          <w:i/>
          <w:iCs/>
        </w:rPr>
        <w:t xml:space="preserve"> Paris </w:t>
      </w:r>
      <w:proofErr w:type="spellStart"/>
      <w:r w:rsidRPr="0074748F">
        <w:rPr>
          <w:i/>
          <w:iCs/>
        </w:rPr>
        <w:t>Convention</w:t>
      </w:r>
      <w:proofErr w:type="spellEnd"/>
      <w:r w:rsidRPr="0074748F">
        <w:rPr>
          <w:i/>
          <w:iCs/>
        </w:rPr>
        <w:t xml:space="preserve"> on </w:t>
      </w:r>
      <w:proofErr w:type="spellStart"/>
      <w:r w:rsidRPr="0074748F">
        <w:rPr>
          <w:i/>
          <w:iCs/>
        </w:rPr>
        <w:t>Third</w:t>
      </w:r>
      <w:proofErr w:type="spellEnd"/>
      <w:r w:rsidRPr="0074748F">
        <w:rPr>
          <w:i/>
          <w:iCs/>
        </w:rPr>
        <w:t xml:space="preserve"> Party </w:t>
      </w:r>
      <w:proofErr w:type="spellStart"/>
      <w:r w:rsidRPr="0074748F">
        <w:rPr>
          <w:i/>
          <w:iCs/>
        </w:rPr>
        <w:t>Liability</w:t>
      </w:r>
      <w:proofErr w:type="spellEnd"/>
      <w:r w:rsidRPr="0074748F">
        <w:rPr>
          <w:i/>
          <w:iCs/>
        </w:rPr>
        <w:t xml:space="preserve"> in </w:t>
      </w:r>
      <w:proofErr w:type="spellStart"/>
      <w:r w:rsidRPr="0074748F">
        <w:rPr>
          <w:i/>
          <w:iCs/>
        </w:rPr>
        <w:t>the</w:t>
      </w:r>
      <w:proofErr w:type="spellEnd"/>
      <w:r w:rsidRPr="0074748F">
        <w:rPr>
          <w:i/>
          <w:iCs/>
        </w:rPr>
        <w:t xml:space="preserve"> </w:t>
      </w:r>
      <w:proofErr w:type="spellStart"/>
      <w:r w:rsidRPr="0074748F">
        <w:rPr>
          <w:i/>
          <w:iCs/>
        </w:rPr>
        <w:t>Field</w:t>
      </w:r>
      <w:proofErr w:type="spellEnd"/>
      <w:r w:rsidRPr="0074748F">
        <w:rPr>
          <w:i/>
          <w:iCs/>
        </w:rPr>
        <w:t xml:space="preserve"> </w:t>
      </w:r>
      <w:proofErr w:type="spellStart"/>
      <w:r w:rsidRPr="0074748F">
        <w:rPr>
          <w:i/>
          <w:iCs/>
        </w:rPr>
        <w:t>of</w:t>
      </w:r>
      <w:proofErr w:type="spellEnd"/>
      <w:r w:rsidRPr="0074748F">
        <w:rPr>
          <w:i/>
          <w:iCs/>
        </w:rPr>
        <w:t xml:space="preserve"> </w:t>
      </w:r>
      <w:proofErr w:type="spellStart"/>
      <w:r w:rsidRPr="0074748F">
        <w:rPr>
          <w:i/>
          <w:iCs/>
        </w:rPr>
        <w:t>Nuclear</w:t>
      </w:r>
      <w:proofErr w:type="spellEnd"/>
      <w:r w:rsidRPr="0074748F">
        <w:rPr>
          <w:i/>
          <w:iCs/>
        </w:rPr>
        <w:t xml:space="preserve"> </w:t>
      </w:r>
      <w:proofErr w:type="spellStart"/>
      <w:r w:rsidRPr="0074748F">
        <w:rPr>
          <w:i/>
          <w:iCs/>
        </w:rPr>
        <w:t>Energy</w:t>
      </w:r>
      <w:proofErr w:type="spellEnd"/>
      <w:r w:rsidRPr="0074748F">
        <w:rPr>
          <w:iCs/>
        </w:rPr>
        <w:t xml:space="preserve">), </w:t>
      </w:r>
      <w:r w:rsidRPr="008F53CE">
        <w:t>přijatá pod gescí Organizace pro ekonomickou spolupráci a rozvoj (OECD) jako regionální západoevropská odpovědnos</w:t>
      </w:r>
      <w:r>
        <w:t>tní úmluva</w:t>
      </w:r>
      <w:r w:rsidRPr="008F53CE">
        <w:t>,</w:t>
      </w:r>
    </w:p>
    <w:p w:rsidR="00DB6DBA" w:rsidRDefault="00DB6DBA" w:rsidP="0044189F">
      <w:pPr>
        <w:pStyle w:val="Odstavecseseznamem"/>
        <w:numPr>
          <w:ilvl w:val="0"/>
          <w:numId w:val="38"/>
        </w:numPr>
        <w:spacing w:after="0"/>
        <w:ind w:left="714" w:hanging="357"/>
        <w:jc w:val="both"/>
      </w:pPr>
      <w:r w:rsidRPr="008F53CE">
        <w:t>Vídeňská úmluva o odpovědnosti za jaderné škody z r. 1963 (</w:t>
      </w:r>
      <w:proofErr w:type="spellStart"/>
      <w:r w:rsidRPr="0074748F">
        <w:rPr>
          <w:i/>
        </w:rPr>
        <w:t>Vienna</w:t>
      </w:r>
      <w:proofErr w:type="spellEnd"/>
      <w:r w:rsidRPr="0074748F">
        <w:rPr>
          <w:i/>
        </w:rPr>
        <w:t xml:space="preserve"> </w:t>
      </w:r>
      <w:proofErr w:type="spellStart"/>
      <w:r w:rsidRPr="0074748F">
        <w:rPr>
          <w:i/>
        </w:rPr>
        <w:t>Convention</w:t>
      </w:r>
      <w:proofErr w:type="spellEnd"/>
      <w:r w:rsidRPr="0074748F">
        <w:rPr>
          <w:i/>
        </w:rPr>
        <w:t xml:space="preserve"> on Civil </w:t>
      </w:r>
      <w:proofErr w:type="spellStart"/>
      <w:r w:rsidRPr="0074748F">
        <w:rPr>
          <w:i/>
        </w:rPr>
        <w:t>Liability</w:t>
      </w:r>
      <w:proofErr w:type="spellEnd"/>
      <w:r w:rsidRPr="0074748F">
        <w:rPr>
          <w:i/>
        </w:rPr>
        <w:t xml:space="preserve"> </w:t>
      </w:r>
      <w:proofErr w:type="spellStart"/>
      <w:r w:rsidRPr="0074748F">
        <w:rPr>
          <w:i/>
        </w:rPr>
        <w:t>for</w:t>
      </w:r>
      <w:proofErr w:type="spellEnd"/>
      <w:r w:rsidRPr="0074748F">
        <w:rPr>
          <w:i/>
        </w:rPr>
        <w:t xml:space="preserve"> </w:t>
      </w:r>
      <w:proofErr w:type="spellStart"/>
      <w:r w:rsidRPr="0074748F">
        <w:rPr>
          <w:i/>
        </w:rPr>
        <w:t>Nuclear</w:t>
      </w:r>
      <w:proofErr w:type="spellEnd"/>
      <w:r w:rsidRPr="0074748F">
        <w:rPr>
          <w:i/>
        </w:rPr>
        <w:t xml:space="preserve"> </w:t>
      </w:r>
      <w:proofErr w:type="spellStart"/>
      <w:r w:rsidRPr="0074748F">
        <w:rPr>
          <w:i/>
        </w:rPr>
        <w:t>Damage</w:t>
      </w:r>
      <w:proofErr w:type="spellEnd"/>
      <w:r w:rsidRPr="008F53CE">
        <w:t>), přijatá pod gescí MAAE jako odpovědnostní úmluva, otevřená vše</w:t>
      </w:r>
      <w:r>
        <w:t>m státům světa</w:t>
      </w:r>
      <w:r w:rsidRPr="008F53CE">
        <w:t>,</w:t>
      </w:r>
    </w:p>
    <w:p w:rsidR="00DB6DBA" w:rsidRPr="008F53CE" w:rsidRDefault="00DB6DBA" w:rsidP="0044189F">
      <w:pPr>
        <w:pStyle w:val="Odstavecseseznamem"/>
        <w:numPr>
          <w:ilvl w:val="0"/>
          <w:numId w:val="38"/>
        </w:numPr>
        <w:spacing w:after="120"/>
        <w:ind w:left="714" w:hanging="357"/>
        <w:contextualSpacing w:val="0"/>
        <w:jc w:val="both"/>
      </w:pPr>
      <w:r w:rsidRPr="008F53CE">
        <w:t>Úmluva o odpovědnosti v oblasti námořní přepravy jaderných materiálů z r. 1971 (</w:t>
      </w:r>
      <w:proofErr w:type="spellStart"/>
      <w:r w:rsidRPr="0074748F">
        <w:rPr>
          <w:rFonts w:eastAsia="TimesNewRomanPS-ItalicMT"/>
          <w:i/>
          <w:iCs/>
        </w:rPr>
        <w:t>Convention</w:t>
      </w:r>
      <w:proofErr w:type="spellEnd"/>
      <w:r w:rsidRPr="0074748F">
        <w:rPr>
          <w:rFonts w:eastAsia="TimesNewRomanPS-ItalicMT"/>
          <w:i/>
          <w:iCs/>
        </w:rPr>
        <w:t xml:space="preserve"> </w:t>
      </w:r>
      <w:proofErr w:type="spellStart"/>
      <w:r w:rsidRPr="0074748F">
        <w:rPr>
          <w:rFonts w:eastAsia="TimesNewRomanPS-ItalicMT"/>
          <w:i/>
          <w:iCs/>
        </w:rPr>
        <w:t>relating</w:t>
      </w:r>
      <w:proofErr w:type="spellEnd"/>
      <w:r w:rsidRPr="0074748F">
        <w:rPr>
          <w:rFonts w:eastAsia="TimesNewRomanPS-ItalicMT"/>
          <w:i/>
          <w:iCs/>
        </w:rPr>
        <w:t xml:space="preserve"> to Civil </w:t>
      </w:r>
      <w:proofErr w:type="spellStart"/>
      <w:r w:rsidRPr="0074748F">
        <w:rPr>
          <w:rFonts w:eastAsia="TimesNewRomanPS-ItalicMT"/>
          <w:i/>
          <w:iCs/>
        </w:rPr>
        <w:t>Liability</w:t>
      </w:r>
      <w:proofErr w:type="spellEnd"/>
      <w:r w:rsidRPr="0074748F">
        <w:rPr>
          <w:rFonts w:eastAsia="TimesNewRomanPS-ItalicMT"/>
          <w:i/>
          <w:iCs/>
        </w:rPr>
        <w:t xml:space="preserve"> in </w:t>
      </w:r>
      <w:proofErr w:type="spellStart"/>
      <w:r w:rsidRPr="0074748F">
        <w:rPr>
          <w:rFonts w:eastAsia="TimesNewRomanPS-ItalicMT"/>
          <w:i/>
          <w:iCs/>
        </w:rPr>
        <w:t>the</w:t>
      </w:r>
      <w:proofErr w:type="spellEnd"/>
      <w:r w:rsidRPr="0074748F">
        <w:rPr>
          <w:rFonts w:eastAsia="TimesNewRomanPS-ItalicMT"/>
          <w:i/>
          <w:iCs/>
        </w:rPr>
        <w:t xml:space="preserve"> </w:t>
      </w:r>
      <w:proofErr w:type="spellStart"/>
      <w:r w:rsidRPr="0074748F">
        <w:rPr>
          <w:rFonts w:eastAsia="TimesNewRomanPS-ItalicMT"/>
          <w:i/>
          <w:iCs/>
        </w:rPr>
        <w:t>Field</w:t>
      </w:r>
      <w:proofErr w:type="spellEnd"/>
      <w:r w:rsidRPr="0074748F">
        <w:rPr>
          <w:rFonts w:eastAsia="TimesNewRomanPS-ItalicMT"/>
          <w:i/>
          <w:iCs/>
        </w:rPr>
        <w:t xml:space="preserve"> </w:t>
      </w:r>
      <w:proofErr w:type="spellStart"/>
      <w:r w:rsidRPr="0074748F">
        <w:rPr>
          <w:rFonts w:eastAsia="TimesNewRomanPS-ItalicMT"/>
          <w:i/>
          <w:iCs/>
        </w:rPr>
        <w:t>of</w:t>
      </w:r>
      <w:proofErr w:type="spellEnd"/>
      <w:r w:rsidRPr="0074748F">
        <w:rPr>
          <w:rFonts w:eastAsia="TimesNewRomanPS-ItalicMT"/>
          <w:i/>
          <w:iCs/>
        </w:rPr>
        <w:t xml:space="preserve"> </w:t>
      </w:r>
      <w:proofErr w:type="spellStart"/>
      <w:r w:rsidRPr="0074748F">
        <w:rPr>
          <w:rFonts w:eastAsia="TimesNewRomanPS-ItalicMT"/>
          <w:i/>
          <w:iCs/>
        </w:rPr>
        <w:t>Maritime</w:t>
      </w:r>
      <w:proofErr w:type="spellEnd"/>
      <w:r w:rsidRPr="0074748F">
        <w:rPr>
          <w:rFonts w:eastAsia="TimesNewRomanPS-ItalicMT"/>
          <w:i/>
          <w:iCs/>
        </w:rPr>
        <w:t xml:space="preserve"> </w:t>
      </w:r>
      <w:proofErr w:type="spellStart"/>
      <w:r w:rsidRPr="0074748F">
        <w:rPr>
          <w:rFonts w:eastAsia="TimesNewRomanPS-ItalicMT"/>
          <w:i/>
          <w:iCs/>
        </w:rPr>
        <w:t>Carriage</w:t>
      </w:r>
      <w:proofErr w:type="spellEnd"/>
      <w:r w:rsidRPr="0074748F">
        <w:rPr>
          <w:rFonts w:eastAsia="TimesNewRomanPS-ItalicMT"/>
          <w:i/>
          <w:iCs/>
        </w:rPr>
        <w:t xml:space="preserve"> </w:t>
      </w:r>
      <w:proofErr w:type="spellStart"/>
      <w:r w:rsidRPr="0074748F">
        <w:rPr>
          <w:rFonts w:eastAsia="TimesNewRomanPS-ItalicMT"/>
          <w:i/>
          <w:iCs/>
        </w:rPr>
        <w:t>of</w:t>
      </w:r>
      <w:proofErr w:type="spellEnd"/>
      <w:r w:rsidRPr="0074748F">
        <w:rPr>
          <w:rFonts w:eastAsia="TimesNewRomanPS-ItalicMT"/>
          <w:i/>
          <w:iCs/>
        </w:rPr>
        <w:t xml:space="preserve"> </w:t>
      </w:r>
      <w:proofErr w:type="spellStart"/>
      <w:r w:rsidRPr="0074748F">
        <w:rPr>
          <w:rFonts w:eastAsia="TimesNewRomanPS-ItalicMT"/>
          <w:i/>
          <w:iCs/>
        </w:rPr>
        <w:t>Nuclear</w:t>
      </w:r>
      <w:proofErr w:type="spellEnd"/>
      <w:r w:rsidRPr="0074748F">
        <w:rPr>
          <w:rFonts w:eastAsia="TimesNewRomanPS-ItalicMT"/>
          <w:i/>
          <w:iCs/>
        </w:rPr>
        <w:t xml:space="preserve"> </w:t>
      </w:r>
      <w:proofErr w:type="spellStart"/>
      <w:r w:rsidRPr="0074748F">
        <w:rPr>
          <w:rFonts w:eastAsia="TimesNewRomanPS-ItalicMT"/>
          <w:i/>
          <w:iCs/>
        </w:rPr>
        <w:t>Material</w:t>
      </w:r>
      <w:proofErr w:type="spellEnd"/>
      <w:r w:rsidRPr="0074748F">
        <w:rPr>
          <w:rFonts w:eastAsia="TimesNewRomanPS-ItalicMT"/>
          <w:iCs/>
        </w:rPr>
        <w:t xml:space="preserve">), přijatá pod gescí </w:t>
      </w:r>
      <w:r w:rsidRPr="0074748F">
        <w:rPr>
          <w:iCs/>
        </w:rPr>
        <w:t xml:space="preserve">Mezinárodní námořní </w:t>
      </w:r>
      <w:r>
        <w:rPr>
          <w:iCs/>
        </w:rPr>
        <w:t>organizace</w:t>
      </w:r>
      <w:r w:rsidRPr="0074748F">
        <w:rPr>
          <w:iCs/>
        </w:rPr>
        <w:t>.</w:t>
      </w:r>
    </w:p>
    <w:p w:rsidR="00DB6DBA" w:rsidRDefault="00DB6DBA" w:rsidP="00DB6DBA">
      <w:pPr>
        <w:spacing w:after="120"/>
        <w:jc w:val="both"/>
      </w:pPr>
      <w:r w:rsidRPr="008F53CE">
        <w:t>Uvedené mezinárodní úmluvy ve svých ustanoveních inkorporovaly následující principy</w:t>
      </w:r>
      <w:r>
        <w:t xml:space="preserve">, kterými se odpovědnost za jaderné škody řídí: </w:t>
      </w:r>
    </w:p>
    <w:p w:rsidR="00DB6DBA" w:rsidRDefault="00DB6DBA" w:rsidP="0044189F">
      <w:pPr>
        <w:pStyle w:val="Odstavecseseznamem"/>
        <w:numPr>
          <w:ilvl w:val="0"/>
          <w:numId w:val="39"/>
        </w:numPr>
        <w:spacing w:after="0"/>
        <w:jc w:val="both"/>
      </w:pPr>
      <w:r w:rsidRPr="0087614A">
        <w:rPr>
          <w:b/>
        </w:rPr>
        <w:t>objektivní odpovědnost provozovatele jaderného zařízení</w:t>
      </w:r>
      <w:r w:rsidRPr="008F53CE">
        <w:t>, tj. jeho odpovědnost bez ohledu na zavinění (ovšem v zásadě s možností liberace ve výjimečných případech, např. v případě války, závažného přírodního neštěstí, občanských nepokojů atd.),</w:t>
      </w:r>
    </w:p>
    <w:p w:rsidR="00DB6DBA" w:rsidRDefault="00045D5A" w:rsidP="0044189F">
      <w:pPr>
        <w:pStyle w:val="Odstavecseseznamem"/>
        <w:numPr>
          <w:ilvl w:val="0"/>
          <w:numId w:val="39"/>
        </w:numPr>
        <w:spacing w:after="0"/>
        <w:jc w:val="both"/>
      </w:pPr>
      <w:r>
        <w:rPr>
          <w:b/>
        </w:rPr>
        <w:t>výlučná odpovědnost</w:t>
      </w:r>
      <w:r w:rsidR="00DB6DBA" w:rsidRPr="0087614A">
        <w:rPr>
          <w:b/>
        </w:rPr>
        <w:t xml:space="preserve"> provozovatele jaderného zařízení</w:t>
      </w:r>
      <w:r w:rsidR="00DB6DBA" w:rsidRPr="008F53CE">
        <w:t>, tj. vyloučení odpovědnosti jakéhokoliv jiného subjektu (dodavatele technologií, konstruktéra, dopravce paliva atd.), způsobené událostí v jaderném zařízení,</w:t>
      </w:r>
    </w:p>
    <w:p w:rsidR="00DB6DBA" w:rsidRDefault="00DB6DBA" w:rsidP="0044189F">
      <w:pPr>
        <w:pStyle w:val="Odstavecseseznamem"/>
        <w:numPr>
          <w:ilvl w:val="0"/>
          <w:numId w:val="39"/>
        </w:numPr>
        <w:spacing w:after="0"/>
        <w:jc w:val="both"/>
      </w:pPr>
      <w:r w:rsidRPr="0087614A">
        <w:rPr>
          <w:b/>
        </w:rPr>
        <w:t>omezená odpovědnost provozovatele</w:t>
      </w:r>
      <w:r w:rsidRPr="008F53CE">
        <w:t>, tj. limitace maximální sumy, do které provozovatel za způsobené škody odpovídá,</w:t>
      </w:r>
    </w:p>
    <w:p w:rsidR="00DB6DBA" w:rsidRDefault="00DB6DBA" w:rsidP="0044189F">
      <w:pPr>
        <w:pStyle w:val="Odstavecseseznamem"/>
        <w:numPr>
          <w:ilvl w:val="0"/>
          <w:numId w:val="39"/>
        </w:numPr>
        <w:spacing w:after="0"/>
        <w:jc w:val="both"/>
      </w:pPr>
      <w:r w:rsidRPr="0087614A">
        <w:rPr>
          <w:b/>
        </w:rPr>
        <w:t>specifické stanovení objektivní a subjektivní lhůty k uplatnění nároku na náhradu jaderné škody</w:t>
      </w:r>
      <w:r w:rsidRPr="008F53CE">
        <w:t xml:space="preserve"> (s ohledem na skutečnost, že škodlivé následky ozáření se mohou projevit teprve v časově delším intervalu), </w:t>
      </w:r>
    </w:p>
    <w:p w:rsidR="00DB6DBA" w:rsidRDefault="00DB6DBA" w:rsidP="0044189F">
      <w:pPr>
        <w:pStyle w:val="Odstavecseseznamem"/>
        <w:numPr>
          <w:ilvl w:val="0"/>
          <w:numId w:val="39"/>
        </w:numPr>
        <w:spacing w:after="0"/>
        <w:jc w:val="both"/>
      </w:pPr>
      <w:r w:rsidRPr="0087614A">
        <w:rPr>
          <w:b/>
        </w:rPr>
        <w:t>obligatorní pojištění</w:t>
      </w:r>
      <w:r w:rsidRPr="008F53CE">
        <w:t>, resp. jiné finanční zabezpečení odpovědnosti provozovatele jaderného zařízení, které má za cíl garantovat existenci finančních prostředků v případě vzniku škodového nároku,</w:t>
      </w:r>
    </w:p>
    <w:p w:rsidR="00DB6DBA" w:rsidRPr="008F53CE" w:rsidRDefault="00DB6DBA" w:rsidP="0044189F">
      <w:pPr>
        <w:pStyle w:val="Odstavecseseznamem"/>
        <w:numPr>
          <w:ilvl w:val="0"/>
          <w:numId w:val="39"/>
        </w:numPr>
        <w:spacing w:after="120"/>
        <w:contextualSpacing w:val="0"/>
        <w:jc w:val="both"/>
      </w:pPr>
      <w:r w:rsidRPr="008F53CE">
        <w:t>specifická právní úprava</w:t>
      </w:r>
      <w:r w:rsidRPr="0087614A">
        <w:rPr>
          <w:b/>
        </w:rPr>
        <w:t xml:space="preserve"> příslušnosti soudu</w:t>
      </w:r>
      <w:r w:rsidRPr="008F53CE">
        <w:t xml:space="preserve">, přičemž soudem příslušným </w:t>
      </w:r>
      <w:r w:rsidR="00045D5A">
        <w:t>k řešení nároků na náhradu škody</w:t>
      </w:r>
      <w:r w:rsidRPr="008F53CE">
        <w:t xml:space="preserve"> bude výlučně soud na území toho stát</w:t>
      </w:r>
      <w:r w:rsidR="00045D5A">
        <w:t>u</w:t>
      </w:r>
      <w:r w:rsidRPr="008F53CE">
        <w:t xml:space="preserve">, ve kterém k havárii došlo. </w:t>
      </w:r>
    </w:p>
    <w:p w:rsidR="00DB6DBA" w:rsidRPr="008F53CE" w:rsidRDefault="00DB6DBA" w:rsidP="00DB6DBA">
      <w:pPr>
        <w:spacing w:after="120"/>
        <w:jc w:val="both"/>
      </w:pPr>
      <w:r w:rsidRPr="008F53CE">
        <w:t xml:space="preserve">Ke značným posunům v oblasti mezinárodněprávní úpravy odpovědnosti za jaderné škody došlo </w:t>
      </w:r>
      <w:r>
        <w:t>po r. 1986</w:t>
      </w:r>
      <w:r w:rsidRPr="008F53CE">
        <w:t xml:space="preserve">. Byla přijata celá řada nových </w:t>
      </w:r>
      <w:r>
        <w:t xml:space="preserve">mezinárodních </w:t>
      </w:r>
      <w:r w:rsidRPr="008F53CE">
        <w:t>úmluv, jejichž cílem bylo zejména navýšit objem finančních prostředků pro případ havárie v jaderném zařízení, prodloužit lhůty k uplatnění nároku na náhradu škody a šířeji definovat okruh škod, za které je provozovatel odpovědný. Reakcí na havárii v jaderné elektrárně Černobyl bylo přijetí následujících mezinárodních úmluv</w:t>
      </w:r>
      <w:r>
        <w:t xml:space="preserve"> (tzv. „mezinárodní smlouvy „druhé generace“)</w:t>
      </w:r>
      <w:r w:rsidRPr="008F53CE">
        <w:t>:</w:t>
      </w:r>
    </w:p>
    <w:p w:rsidR="00DB6DBA" w:rsidRDefault="00DB6DBA" w:rsidP="0044189F">
      <w:pPr>
        <w:pStyle w:val="Odstavecseseznamem"/>
        <w:numPr>
          <w:ilvl w:val="0"/>
          <w:numId w:val="40"/>
        </w:numPr>
        <w:spacing w:after="0"/>
        <w:jc w:val="both"/>
      </w:pPr>
      <w:r w:rsidRPr="008F53CE">
        <w:t>Společný protokol o aplikaci Vídeňské a Pařížské úmluvy z r. 1988 (</w:t>
      </w:r>
      <w:r w:rsidRPr="00F22412">
        <w:rPr>
          <w:i/>
        </w:rPr>
        <w:t xml:space="preserve">Joint </w:t>
      </w:r>
      <w:proofErr w:type="spellStart"/>
      <w:r w:rsidRPr="00F22412">
        <w:rPr>
          <w:i/>
        </w:rPr>
        <w:t>Protocol</w:t>
      </w:r>
      <w:proofErr w:type="spellEnd"/>
      <w:r w:rsidRPr="00F22412">
        <w:rPr>
          <w:i/>
        </w:rPr>
        <w:t xml:space="preserve"> </w:t>
      </w:r>
      <w:proofErr w:type="spellStart"/>
      <w:r w:rsidRPr="00F22412">
        <w:rPr>
          <w:i/>
        </w:rPr>
        <w:t>relating</w:t>
      </w:r>
      <w:proofErr w:type="spellEnd"/>
      <w:r w:rsidRPr="00F22412">
        <w:rPr>
          <w:i/>
        </w:rPr>
        <w:t xml:space="preserve"> to </w:t>
      </w:r>
      <w:proofErr w:type="spellStart"/>
      <w:r w:rsidRPr="00F22412">
        <w:rPr>
          <w:i/>
        </w:rPr>
        <w:t>the</w:t>
      </w:r>
      <w:proofErr w:type="spellEnd"/>
      <w:r w:rsidRPr="00F22412">
        <w:rPr>
          <w:i/>
        </w:rPr>
        <w:t xml:space="preserve"> </w:t>
      </w:r>
      <w:proofErr w:type="spellStart"/>
      <w:r w:rsidRPr="00F22412">
        <w:rPr>
          <w:i/>
        </w:rPr>
        <w:t>Application</w:t>
      </w:r>
      <w:proofErr w:type="spellEnd"/>
      <w:r w:rsidRPr="00F22412">
        <w:rPr>
          <w:i/>
        </w:rPr>
        <w:t xml:space="preserve"> </w:t>
      </w:r>
      <w:proofErr w:type="spellStart"/>
      <w:r w:rsidRPr="00F22412">
        <w:rPr>
          <w:i/>
        </w:rPr>
        <w:t>of</w:t>
      </w:r>
      <w:proofErr w:type="spellEnd"/>
      <w:r w:rsidRPr="00F22412">
        <w:rPr>
          <w:i/>
        </w:rPr>
        <w:t xml:space="preserve"> </w:t>
      </w:r>
      <w:proofErr w:type="spellStart"/>
      <w:r w:rsidRPr="00F22412">
        <w:rPr>
          <w:i/>
        </w:rPr>
        <w:t>the</w:t>
      </w:r>
      <w:proofErr w:type="spellEnd"/>
      <w:r w:rsidRPr="00F22412">
        <w:rPr>
          <w:i/>
        </w:rPr>
        <w:t xml:space="preserve"> </w:t>
      </w:r>
      <w:proofErr w:type="spellStart"/>
      <w:r w:rsidRPr="00F22412">
        <w:rPr>
          <w:i/>
        </w:rPr>
        <w:t>Vienna</w:t>
      </w:r>
      <w:proofErr w:type="spellEnd"/>
      <w:r w:rsidRPr="00F22412">
        <w:rPr>
          <w:i/>
        </w:rPr>
        <w:t xml:space="preserve"> </w:t>
      </w:r>
      <w:proofErr w:type="spellStart"/>
      <w:r w:rsidRPr="00F22412">
        <w:rPr>
          <w:i/>
        </w:rPr>
        <w:t>Convention</w:t>
      </w:r>
      <w:proofErr w:type="spellEnd"/>
      <w:r w:rsidRPr="00F22412">
        <w:rPr>
          <w:i/>
        </w:rPr>
        <w:t xml:space="preserve"> and </w:t>
      </w:r>
      <w:proofErr w:type="spellStart"/>
      <w:r w:rsidRPr="00F22412">
        <w:rPr>
          <w:i/>
        </w:rPr>
        <w:t>the</w:t>
      </w:r>
      <w:proofErr w:type="spellEnd"/>
      <w:r w:rsidRPr="00F22412">
        <w:rPr>
          <w:i/>
        </w:rPr>
        <w:t xml:space="preserve"> Paris </w:t>
      </w:r>
      <w:proofErr w:type="spellStart"/>
      <w:r w:rsidRPr="00F22412">
        <w:rPr>
          <w:i/>
        </w:rPr>
        <w:t>Convention</w:t>
      </w:r>
      <w:proofErr w:type="spellEnd"/>
      <w:r w:rsidRPr="008F53CE">
        <w:t>), přijatý pod gescí MAAE za účelem „propojení“ obou existujících odpovědnostních systémů (Pařížského a Vídeňského),</w:t>
      </w:r>
    </w:p>
    <w:p w:rsidR="00DB6DBA" w:rsidRDefault="00DB6DBA" w:rsidP="0044189F">
      <w:pPr>
        <w:pStyle w:val="Odstavecseseznamem"/>
        <w:numPr>
          <w:ilvl w:val="0"/>
          <w:numId w:val="40"/>
        </w:numPr>
        <w:spacing w:after="0"/>
        <w:jc w:val="both"/>
      </w:pPr>
      <w:r w:rsidRPr="008F53CE">
        <w:lastRenderedPageBreak/>
        <w:t>Protokol z r. 1997 o doplnění Vídeňské úmluvy o odpovědnosti za jaderné škody (</w:t>
      </w:r>
      <w:proofErr w:type="spellStart"/>
      <w:r w:rsidRPr="00F22412">
        <w:rPr>
          <w:i/>
        </w:rPr>
        <w:t>Protocol</w:t>
      </w:r>
      <w:proofErr w:type="spellEnd"/>
      <w:r w:rsidRPr="00F22412">
        <w:rPr>
          <w:i/>
        </w:rPr>
        <w:t xml:space="preserve"> to </w:t>
      </w:r>
      <w:proofErr w:type="spellStart"/>
      <w:r w:rsidRPr="00F22412">
        <w:rPr>
          <w:i/>
        </w:rPr>
        <w:t>Amend</w:t>
      </w:r>
      <w:proofErr w:type="spellEnd"/>
      <w:r w:rsidRPr="00F22412">
        <w:rPr>
          <w:i/>
        </w:rPr>
        <w:t xml:space="preserve"> </w:t>
      </w:r>
      <w:proofErr w:type="spellStart"/>
      <w:r w:rsidRPr="00F22412">
        <w:rPr>
          <w:i/>
        </w:rPr>
        <w:t>the</w:t>
      </w:r>
      <w:proofErr w:type="spellEnd"/>
      <w:r w:rsidRPr="00F22412">
        <w:rPr>
          <w:i/>
        </w:rPr>
        <w:t xml:space="preserve"> </w:t>
      </w:r>
      <w:proofErr w:type="spellStart"/>
      <w:r w:rsidRPr="00F22412">
        <w:rPr>
          <w:i/>
        </w:rPr>
        <w:t>Vienna</w:t>
      </w:r>
      <w:proofErr w:type="spellEnd"/>
      <w:r w:rsidRPr="00F22412">
        <w:rPr>
          <w:i/>
        </w:rPr>
        <w:t xml:space="preserve"> </w:t>
      </w:r>
      <w:proofErr w:type="spellStart"/>
      <w:r w:rsidRPr="00F22412">
        <w:rPr>
          <w:i/>
        </w:rPr>
        <w:t>Convention</w:t>
      </w:r>
      <w:proofErr w:type="spellEnd"/>
      <w:r w:rsidRPr="00F22412">
        <w:rPr>
          <w:i/>
        </w:rPr>
        <w:t xml:space="preserve"> on Civil </w:t>
      </w:r>
      <w:proofErr w:type="spellStart"/>
      <w:r w:rsidRPr="00F22412">
        <w:rPr>
          <w:i/>
        </w:rPr>
        <w:t>Liability</w:t>
      </w:r>
      <w:proofErr w:type="spellEnd"/>
      <w:r w:rsidRPr="00F22412">
        <w:rPr>
          <w:i/>
        </w:rPr>
        <w:t xml:space="preserve"> </w:t>
      </w:r>
      <w:proofErr w:type="spellStart"/>
      <w:r w:rsidRPr="00F22412">
        <w:rPr>
          <w:i/>
        </w:rPr>
        <w:t>for</w:t>
      </w:r>
      <w:proofErr w:type="spellEnd"/>
      <w:r w:rsidRPr="00F22412">
        <w:rPr>
          <w:i/>
        </w:rPr>
        <w:t xml:space="preserve"> </w:t>
      </w:r>
      <w:proofErr w:type="spellStart"/>
      <w:r w:rsidRPr="00F22412">
        <w:rPr>
          <w:i/>
        </w:rPr>
        <w:t>Nuclear</w:t>
      </w:r>
      <w:proofErr w:type="spellEnd"/>
      <w:r w:rsidRPr="00F22412">
        <w:rPr>
          <w:i/>
        </w:rPr>
        <w:t xml:space="preserve"> </w:t>
      </w:r>
      <w:proofErr w:type="spellStart"/>
      <w:r w:rsidRPr="00F22412">
        <w:rPr>
          <w:i/>
        </w:rPr>
        <w:t>Damage</w:t>
      </w:r>
      <w:proofErr w:type="spellEnd"/>
      <w:r w:rsidRPr="008F53CE">
        <w:t>), přijatý pod gescí MAAE za účelem optimalizace odpovědnostního systému, vytvořen</w:t>
      </w:r>
      <w:r>
        <w:t>ého Vídeňskou úmluvou z r. 1963,</w:t>
      </w:r>
    </w:p>
    <w:p w:rsidR="00DB6DBA" w:rsidRDefault="00DB6DBA" w:rsidP="0044189F">
      <w:pPr>
        <w:pStyle w:val="Odstavecseseznamem"/>
        <w:numPr>
          <w:ilvl w:val="0"/>
          <w:numId w:val="40"/>
        </w:numPr>
        <w:spacing w:after="0"/>
        <w:jc w:val="both"/>
      </w:pPr>
      <w:r w:rsidRPr="008F53CE">
        <w:t>Úmluva o dodatečné kompenzaci za jaderné škody z r. 1997 (</w:t>
      </w:r>
      <w:proofErr w:type="spellStart"/>
      <w:r w:rsidRPr="00F22412">
        <w:rPr>
          <w:i/>
        </w:rPr>
        <w:t>Convention</w:t>
      </w:r>
      <w:proofErr w:type="spellEnd"/>
      <w:r w:rsidRPr="00F22412">
        <w:rPr>
          <w:i/>
        </w:rPr>
        <w:t xml:space="preserve"> on </w:t>
      </w:r>
      <w:proofErr w:type="spellStart"/>
      <w:r w:rsidRPr="00F22412">
        <w:rPr>
          <w:i/>
        </w:rPr>
        <w:t>Supplementary</w:t>
      </w:r>
      <w:proofErr w:type="spellEnd"/>
      <w:r w:rsidRPr="00F22412">
        <w:rPr>
          <w:i/>
        </w:rPr>
        <w:t xml:space="preserve"> </w:t>
      </w:r>
      <w:proofErr w:type="spellStart"/>
      <w:r w:rsidRPr="00F22412">
        <w:rPr>
          <w:i/>
        </w:rPr>
        <w:t>Compensation</w:t>
      </w:r>
      <w:proofErr w:type="spellEnd"/>
      <w:r w:rsidRPr="00F22412">
        <w:rPr>
          <w:i/>
        </w:rPr>
        <w:t xml:space="preserve"> </w:t>
      </w:r>
      <w:proofErr w:type="spellStart"/>
      <w:r w:rsidRPr="00F22412">
        <w:rPr>
          <w:i/>
        </w:rPr>
        <w:t>for</w:t>
      </w:r>
      <w:proofErr w:type="spellEnd"/>
      <w:r w:rsidRPr="00F22412">
        <w:rPr>
          <w:i/>
        </w:rPr>
        <w:t xml:space="preserve"> </w:t>
      </w:r>
      <w:proofErr w:type="spellStart"/>
      <w:r w:rsidRPr="00F22412">
        <w:rPr>
          <w:i/>
        </w:rPr>
        <w:t>Nuclear</w:t>
      </w:r>
      <w:proofErr w:type="spellEnd"/>
      <w:r w:rsidRPr="00F22412">
        <w:rPr>
          <w:i/>
        </w:rPr>
        <w:t xml:space="preserve"> </w:t>
      </w:r>
      <w:proofErr w:type="spellStart"/>
      <w:r w:rsidRPr="00F22412">
        <w:rPr>
          <w:i/>
        </w:rPr>
        <w:t>Damage</w:t>
      </w:r>
      <w:proofErr w:type="spellEnd"/>
      <w:r w:rsidRPr="008F53CE">
        <w:t>), přijatá pod gescí Mezinárodní agent</w:t>
      </w:r>
      <w:r>
        <w:t>ury pro atomovou energii (</w:t>
      </w:r>
      <w:r w:rsidRPr="008F53CE">
        <w:t>(</w:t>
      </w:r>
      <w:r>
        <w:t>Úmluva doposud nenabyla platnosti),</w:t>
      </w:r>
    </w:p>
    <w:p w:rsidR="00DB6DBA" w:rsidRDefault="00DB6DBA" w:rsidP="0044189F">
      <w:pPr>
        <w:pStyle w:val="Odstavecseseznamem"/>
        <w:numPr>
          <w:ilvl w:val="0"/>
          <w:numId w:val="40"/>
        </w:numPr>
        <w:spacing w:after="0"/>
        <w:jc w:val="both"/>
      </w:pPr>
      <w:r w:rsidRPr="008F53CE">
        <w:t xml:space="preserve">Protokol z r. 2004 o doplnění Pařížské úmluvy o odpovědnosti v jaderné energetice z r. 1960 </w:t>
      </w:r>
      <w:r w:rsidRPr="00F22412">
        <w:rPr>
          <w:lang w:val="en-GB"/>
        </w:rPr>
        <w:t>(</w:t>
      </w:r>
      <w:r w:rsidRPr="00F22412">
        <w:rPr>
          <w:i/>
          <w:lang w:val="en-GB"/>
        </w:rPr>
        <w:t>Protocol to Amend the Convention on Third Party Liability in the Field of Nuclear Energy of 1960</w:t>
      </w:r>
      <w:r w:rsidRPr="008F53CE">
        <w:t xml:space="preserve">) a </w:t>
      </w:r>
    </w:p>
    <w:p w:rsidR="00DB6DBA" w:rsidRPr="008F53CE" w:rsidRDefault="00DB6DBA" w:rsidP="0044189F">
      <w:pPr>
        <w:pStyle w:val="Odstavecseseznamem"/>
        <w:numPr>
          <w:ilvl w:val="0"/>
          <w:numId w:val="40"/>
        </w:numPr>
        <w:spacing w:after="120"/>
        <w:contextualSpacing w:val="0"/>
        <w:jc w:val="both"/>
      </w:pPr>
      <w:r w:rsidRPr="008F53CE">
        <w:t>Protokol z r. 2004 o doplnění Bruselské úmluvy, kterou se doplňuje Pařížská úmluva, z r. 1963 (</w:t>
      </w:r>
      <w:proofErr w:type="spellStart"/>
      <w:r w:rsidRPr="00F22412">
        <w:rPr>
          <w:i/>
        </w:rPr>
        <w:t>Protocol</w:t>
      </w:r>
      <w:proofErr w:type="spellEnd"/>
      <w:r w:rsidRPr="00F22412">
        <w:rPr>
          <w:i/>
        </w:rPr>
        <w:t xml:space="preserve"> to </w:t>
      </w:r>
      <w:proofErr w:type="spellStart"/>
      <w:r w:rsidRPr="00F22412">
        <w:rPr>
          <w:i/>
        </w:rPr>
        <w:t>Amend</w:t>
      </w:r>
      <w:proofErr w:type="spellEnd"/>
      <w:r w:rsidRPr="00F22412">
        <w:rPr>
          <w:i/>
        </w:rPr>
        <w:t xml:space="preserve"> </w:t>
      </w:r>
      <w:proofErr w:type="spellStart"/>
      <w:r w:rsidRPr="00F22412">
        <w:rPr>
          <w:i/>
        </w:rPr>
        <w:t>the</w:t>
      </w:r>
      <w:proofErr w:type="spellEnd"/>
      <w:r w:rsidRPr="00F22412">
        <w:rPr>
          <w:i/>
        </w:rPr>
        <w:t xml:space="preserve"> </w:t>
      </w:r>
      <w:proofErr w:type="spellStart"/>
      <w:r w:rsidRPr="00F22412">
        <w:rPr>
          <w:i/>
        </w:rPr>
        <w:t>Convention</w:t>
      </w:r>
      <w:proofErr w:type="spellEnd"/>
      <w:r w:rsidRPr="00F22412">
        <w:rPr>
          <w:i/>
        </w:rPr>
        <w:t xml:space="preserve"> </w:t>
      </w:r>
      <w:proofErr w:type="spellStart"/>
      <w:r w:rsidRPr="00F22412">
        <w:rPr>
          <w:i/>
        </w:rPr>
        <w:t>of</w:t>
      </w:r>
      <w:proofErr w:type="spellEnd"/>
      <w:r w:rsidRPr="00F22412">
        <w:rPr>
          <w:i/>
        </w:rPr>
        <w:t xml:space="preserve"> 1963 </w:t>
      </w:r>
      <w:proofErr w:type="spellStart"/>
      <w:r w:rsidRPr="00F22412">
        <w:rPr>
          <w:i/>
        </w:rPr>
        <w:t>Supplementary</w:t>
      </w:r>
      <w:proofErr w:type="spellEnd"/>
      <w:r w:rsidRPr="00F22412">
        <w:rPr>
          <w:i/>
        </w:rPr>
        <w:t xml:space="preserve"> to </w:t>
      </w:r>
      <w:proofErr w:type="spellStart"/>
      <w:r w:rsidRPr="00F22412">
        <w:rPr>
          <w:i/>
        </w:rPr>
        <w:t>the</w:t>
      </w:r>
      <w:proofErr w:type="spellEnd"/>
      <w:r w:rsidRPr="00F22412">
        <w:rPr>
          <w:i/>
        </w:rPr>
        <w:t xml:space="preserve"> Paris </w:t>
      </w:r>
      <w:proofErr w:type="spellStart"/>
      <w:r w:rsidRPr="00F22412">
        <w:rPr>
          <w:i/>
        </w:rPr>
        <w:t>Convention</w:t>
      </w:r>
      <w:proofErr w:type="spellEnd"/>
      <w:r w:rsidRPr="00F22412">
        <w:rPr>
          <w:i/>
        </w:rPr>
        <w:t xml:space="preserve">  </w:t>
      </w:r>
      <w:proofErr w:type="spellStart"/>
      <w:r w:rsidRPr="00F22412">
        <w:rPr>
          <w:i/>
        </w:rPr>
        <w:t>of</w:t>
      </w:r>
      <w:proofErr w:type="spellEnd"/>
      <w:r w:rsidRPr="00F22412">
        <w:rPr>
          <w:i/>
        </w:rPr>
        <w:t xml:space="preserve"> 1960 on </w:t>
      </w:r>
      <w:proofErr w:type="spellStart"/>
      <w:r w:rsidRPr="00F22412">
        <w:rPr>
          <w:i/>
        </w:rPr>
        <w:t>Third</w:t>
      </w:r>
      <w:proofErr w:type="spellEnd"/>
      <w:r w:rsidRPr="00F22412">
        <w:rPr>
          <w:i/>
        </w:rPr>
        <w:t xml:space="preserve"> Party </w:t>
      </w:r>
      <w:proofErr w:type="spellStart"/>
      <w:r w:rsidRPr="00F22412">
        <w:rPr>
          <w:i/>
        </w:rPr>
        <w:t>Liability</w:t>
      </w:r>
      <w:proofErr w:type="spellEnd"/>
      <w:r w:rsidRPr="00F22412">
        <w:rPr>
          <w:i/>
        </w:rPr>
        <w:t xml:space="preserve"> in </w:t>
      </w:r>
      <w:proofErr w:type="spellStart"/>
      <w:r w:rsidRPr="00F22412">
        <w:rPr>
          <w:i/>
        </w:rPr>
        <w:t>the</w:t>
      </w:r>
      <w:proofErr w:type="spellEnd"/>
      <w:r w:rsidRPr="00F22412">
        <w:rPr>
          <w:i/>
        </w:rPr>
        <w:t xml:space="preserve"> </w:t>
      </w:r>
      <w:proofErr w:type="spellStart"/>
      <w:r w:rsidRPr="00F22412">
        <w:rPr>
          <w:i/>
        </w:rPr>
        <w:t>Field</w:t>
      </w:r>
      <w:proofErr w:type="spellEnd"/>
      <w:r w:rsidRPr="00F22412">
        <w:rPr>
          <w:i/>
        </w:rPr>
        <w:t xml:space="preserve"> </w:t>
      </w:r>
      <w:proofErr w:type="spellStart"/>
      <w:r w:rsidRPr="00F22412">
        <w:rPr>
          <w:i/>
        </w:rPr>
        <w:t>of</w:t>
      </w:r>
      <w:proofErr w:type="spellEnd"/>
      <w:r w:rsidRPr="00F22412">
        <w:rPr>
          <w:i/>
        </w:rPr>
        <w:t xml:space="preserve"> </w:t>
      </w:r>
      <w:proofErr w:type="spellStart"/>
      <w:r w:rsidRPr="00F22412">
        <w:rPr>
          <w:i/>
        </w:rPr>
        <w:t>Nuclear</w:t>
      </w:r>
      <w:proofErr w:type="spellEnd"/>
      <w:r w:rsidRPr="00F22412">
        <w:rPr>
          <w:i/>
        </w:rPr>
        <w:t xml:space="preserve"> </w:t>
      </w:r>
      <w:proofErr w:type="spellStart"/>
      <w:r w:rsidRPr="00F22412">
        <w:rPr>
          <w:i/>
        </w:rPr>
        <w:t>Energy</w:t>
      </w:r>
      <w:proofErr w:type="spellEnd"/>
      <w:r w:rsidR="00045D5A">
        <w:t>), přijatý</w:t>
      </w:r>
      <w:r w:rsidRPr="008F53CE">
        <w:t xml:space="preserve"> pod gescí OECD z</w:t>
      </w:r>
      <w:r>
        <w:t>a</w:t>
      </w:r>
      <w:r w:rsidRPr="008F53CE">
        <w:t> účelem optimalizace Pařížské úmluvy z r. 1960 a Bruselské úmluvy z r. 1963 (Protokoly z r. 2004 doposud nenabyly platnosti).</w:t>
      </w:r>
    </w:p>
    <w:p w:rsidR="00DB6DBA" w:rsidRDefault="00DB6DBA" w:rsidP="00DB6DBA">
      <w:pPr>
        <w:pStyle w:val="Odstavecseseznamem"/>
        <w:spacing w:after="120"/>
        <w:ind w:left="0"/>
        <w:contextualSpacing w:val="0"/>
        <w:jc w:val="both"/>
      </w:pPr>
      <w:r w:rsidRPr="008F53CE">
        <w:t>Mezinárodní smlouvy „druhé generace“ stojí na stejných odpovědnostních zásadách, jako mezinárodní smlouvy „první generace“ (výlučná odpovědnost provozovatele, omezení odpovědnosti, obligatorní pojištění, výlučná příslušnost soudů). Jejich přínos spočívá v optimalizaci odpovědnostního režimu prostřednictvím následujících nástrojů:</w:t>
      </w:r>
    </w:p>
    <w:p w:rsidR="00DB6DBA" w:rsidRDefault="00DB6DBA" w:rsidP="0044189F">
      <w:pPr>
        <w:pStyle w:val="Odstavecseseznamem"/>
        <w:numPr>
          <w:ilvl w:val="0"/>
          <w:numId w:val="41"/>
        </w:numPr>
        <w:spacing w:after="0"/>
        <w:jc w:val="both"/>
      </w:pPr>
      <w:r w:rsidRPr="008F53CE">
        <w:t>odpovědnostní režim mezinárodních smluv „druhé generace“ se vztahuje na širší okruh zařízení (jedná se zejména o úložiště radioaktivních odpadů a vyhořeného jaderného paliva, jaderná zařízení ve stadiu vyřazování atd.),</w:t>
      </w:r>
    </w:p>
    <w:p w:rsidR="00DB6DBA" w:rsidRDefault="00DB6DBA" w:rsidP="0044189F">
      <w:pPr>
        <w:pStyle w:val="Odstavecseseznamem"/>
        <w:numPr>
          <w:ilvl w:val="0"/>
          <w:numId w:val="41"/>
        </w:numPr>
        <w:spacing w:after="0"/>
        <w:jc w:val="both"/>
      </w:pPr>
      <w:r w:rsidRPr="008F53CE">
        <w:t xml:space="preserve">zvýšení minimálních limitů odpovědnosti provozovatele, včetně limitů obligatorního pojištění, </w:t>
      </w:r>
    </w:p>
    <w:p w:rsidR="00DB6DBA" w:rsidRDefault="00DB6DBA" w:rsidP="0044189F">
      <w:pPr>
        <w:pStyle w:val="Odstavecseseznamem"/>
        <w:numPr>
          <w:ilvl w:val="0"/>
          <w:numId w:val="41"/>
        </w:numPr>
        <w:spacing w:after="120"/>
        <w:contextualSpacing w:val="0"/>
        <w:jc w:val="both"/>
      </w:pPr>
      <w:r w:rsidRPr="008F53CE">
        <w:t>geografické a typové rozšíření okruhu škod, za které nese provozovatel dotčeného zařízení odpovědnost.</w:t>
      </w:r>
    </w:p>
    <w:p w:rsidR="00DB6DBA" w:rsidRPr="00AC4940" w:rsidRDefault="00DB6DBA" w:rsidP="00DB6DBA">
      <w:pPr>
        <w:spacing w:after="120"/>
        <w:jc w:val="both"/>
      </w:pPr>
      <w:r w:rsidRPr="00AC4940">
        <w:t>Česká republika (stejně jako většina států středo- a východoevropského prostoru)</w:t>
      </w:r>
      <w:r>
        <w:t xml:space="preserve"> je v oblasti odpovědnosti za jaderné škody v současnosti</w:t>
      </w:r>
      <w:r w:rsidRPr="00AC4940">
        <w:t xml:space="preserve"> smluvní stranou dvou mezinárodních úmluv</w:t>
      </w:r>
      <w:r>
        <w:t xml:space="preserve"> (sdělení MZV č. 133/1994 Sb.)</w:t>
      </w:r>
      <w:r w:rsidRPr="00AC4940">
        <w:t xml:space="preserve">, uzavřených pod gescí </w:t>
      </w:r>
      <w:r>
        <w:t>MAAE a</w:t>
      </w:r>
      <w:r w:rsidR="00C223D0">
        <w:t> </w:t>
      </w:r>
      <w:r>
        <w:t xml:space="preserve">to: </w:t>
      </w:r>
    </w:p>
    <w:p w:rsidR="00DB6DBA" w:rsidRPr="00AC4940" w:rsidRDefault="00DB6DBA" w:rsidP="0044189F">
      <w:pPr>
        <w:pStyle w:val="Odstavecseseznamem"/>
        <w:numPr>
          <w:ilvl w:val="0"/>
          <w:numId w:val="42"/>
        </w:numPr>
        <w:spacing w:after="0"/>
        <w:jc w:val="both"/>
      </w:pPr>
      <w:r w:rsidRPr="00AC4940">
        <w:t>Vídeňské úmluvy o odpovědnosti za jaderné škody z r. 19</w:t>
      </w:r>
      <w:r>
        <w:t>63</w:t>
      </w:r>
      <w:r w:rsidRPr="00AC4940">
        <w:t xml:space="preserve"> </w:t>
      </w:r>
      <w:r>
        <w:t>(dále jen: „VÚ 1963“),</w:t>
      </w:r>
    </w:p>
    <w:p w:rsidR="00DB6DBA" w:rsidRPr="00AC4940" w:rsidRDefault="00DB6DBA" w:rsidP="0044189F">
      <w:pPr>
        <w:pStyle w:val="Odstavecseseznamem"/>
        <w:numPr>
          <w:ilvl w:val="0"/>
          <w:numId w:val="42"/>
        </w:numPr>
        <w:spacing w:after="120"/>
        <w:contextualSpacing w:val="0"/>
        <w:jc w:val="both"/>
      </w:pPr>
      <w:r w:rsidRPr="00AC4940">
        <w:t xml:space="preserve">Společného </w:t>
      </w:r>
      <w:r>
        <w:t xml:space="preserve">protokolu </w:t>
      </w:r>
      <w:r w:rsidRPr="008F53CE">
        <w:t>o aplikaci Vídeň</w:t>
      </w:r>
      <w:r>
        <w:t>ské a Pařížské úmluvy z r. 1988 (dále jen: „SP 1988“).</w:t>
      </w:r>
    </w:p>
    <w:p w:rsidR="00DB6DBA" w:rsidRPr="00D206B4" w:rsidRDefault="00DB6DBA" w:rsidP="00DB6DBA">
      <w:pPr>
        <w:spacing w:after="120"/>
        <w:jc w:val="both"/>
        <w:rPr>
          <w:bCs/>
        </w:rPr>
      </w:pPr>
      <w:r w:rsidRPr="00AC4940">
        <w:t>V případě výše uvedených mezinárodních smluv se nejedná o smlouvy „samo</w:t>
      </w:r>
      <w:r>
        <w:t xml:space="preserve"> </w:t>
      </w:r>
      <w:r w:rsidRPr="00AC4940">
        <w:t xml:space="preserve">vykonatelné“, protože jejich jednotlivá ustanovení předpokládají provedení (bližší specifikaci) v právním řádu smluvních stran. V podmínkách České republiky </w:t>
      </w:r>
      <w:r>
        <w:t xml:space="preserve">byla </w:t>
      </w:r>
      <w:r>
        <w:rPr>
          <w:bCs/>
        </w:rPr>
        <w:t>u</w:t>
      </w:r>
      <w:r w:rsidRPr="00AC4940">
        <w:rPr>
          <w:bCs/>
        </w:rPr>
        <w:t xml:space="preserve">stanovení výše uvedených mezinárodních smluv do </w:t>
      </w:r>
      <w:r>
        <w:rPr>
          <w:bCs/>
        </w:rPr>
        <w:t>vnitrostátního</w:t>
      </w:r>
      <w:r w:rsidRPr="00AC4940">
        <w:rPr>
          <w:bCs/>
        </w:rPr>
        <w:t xml:space="preserve"> právního řádu transponována </w:t>
      </w:r>
      <w:r w:rsidRPr="00AF1230">
        <w:rPr>
          <w:b/>
        </w:rPr>
        <w:t>zákonem č. 18/1997 Sb., o mírovém využívání jaderné energie a ionizujícího záření (atomový zákon) a o změně a doplnění některých zákonů</w:t>
      </w:r>
      <w:r>
        <w:t xml:space="preserve"> (dále jen: „</w:t>
      </w:r>
      <w:proofErr w:type="spellStart"/>
      <w:r>
        <w:t>AtomZ</w:t>
      </w:r>
      <w:proofErr w:type="spellEnd"/>
      <w:r>
        <w:t>“)</w:t>
      </w:r>
      <w:r w:rsidRPr="00AC4940">
        <w:rPr>
          <w:bCs/>
        </w:rPr>
        <w:t xml:space="preserve">, který v § 32 odst. 1 obsahuje tzv. odkazovací klauzuli na </w:t>
      </w:r>
      <w:r>
        <w:rPr>
          <w:bCs/>
        </w:rPr>
        <w:t xml:space="preserve">VÚ 1963 a SP 1988. </w:t>
      </w:r>
      <w:r w:rsidRPr="00AC4940">
        <w:t xml:space="preserve">Tento odkaz na mezinárodní </w:t>
      </w:r>
      <w:r>
        <w:t>úmluvy</w:t>
      </w:r>
      <w:r w:rsidRPr="00AC4940">
        <w:t xml:space="preserve"> podřizuje držitele povolení k provozu jaderného zařízení specifickému odpovědnostnímu systému, vytvořenému VÚ 1963 a SP 1988, dále ustanovením hlavy páté </w:t>
      </w:r>
      <w:proofErr w:type="spellStart"/>
      <w:r>
        <w:t>AtomZ</w:t>
      </w:r>
      <w:proofErr w:type="spellEnd"/>
      <w:r w:rsidRPr="00AC4940">
        <w:t xml:space="preserve"> a</w:t>
      </w:r>
      <w:r>
        <w:t> </w:t>
      </w:r>
      <w:r w:rsidRPr="00AC4940">
        <w:t>subsidiárně použitelným ustanovením občanského zákoníku.</w:t>
      </w:r>
      <w:r w:rsidRPr="00AC4940">
        <w:rPr>
          <w:i/>
        </w:rPr>
        <w:t xml:space="preserve"> </w:t>
      </w:r>
      <w:r w:rsidRPr="00AC4940">
        <w:t>Na obligatorní pojištění budou dále aplikovatelná ustanovení právních předpisů upravujících oblast pojišťovnictví.</w:t>
      </w:r>
      <w:r w:rsidRPr="00AC4940">
        <w:rPr>
          <w:bCs/>
        </w:rPr>
        <w:t xml:space="preserve"> </w:t>
      </w:r>
      <w:r>
        <w:rPr>
          <w:bCs/>
        </w:rPr>
        <w:t xml:space="preserve">Uvedené právní předpisy vytváření odpovědnosti rámec, který lze charakterizovat následujícími znaky: </w:t>
      </w:r>
    </w:p>
    <w:p w:rsidR="00DB6DBA" w:rsidRPr="00170843" w:rsidRDefault="00DB6DBA" w:rsidP="0044189F">
      <w:pPr>
        <w:pStyle w:val="Odstavecseseznamem"/>
        <w:numPr>
          <w:ilvl w:val="0"/>
          <w:numId w:val="43"/>
        </w:numPr>
        <w:spacing w:after="0"/>
        <w:jc w:val="both"/>
        <w:rPr>
          <w:bCs/>
        </w:rPr>
      </w:pPr>
      <w:r w:rsidRPr="003F7E86">
        <w:lastRenderedPageBreak/>
        <w:t>držitel povolení k provozu</w:t>
      </w:r>
      <w:r w:rsidRPr="00AC4940">
        <w:t xml:space="preserve"> jaderného zařízení je </w:t>
      </w:r>
      <w:r>
        <w:t xml:space="preserve">subjektem, který nese výlučnou odpovědnost v případě, že dojde k „jaderné škodě“, </w:t>
      </w:r>
    </w:p>
    <w:p w:rsidR="00DB6DBA" w:rsidRPr="002E60F7" w:rsidRDefault="00DB6DBA" w:rsidP="0044189F">
      <w:pPr>
        <w:pStyle w:val="Odstavecseseznamem"/>
        <w:numPr>
          <w:ilvl w:val="0"/>
          <w:numId w:val="43"/>
        </w:numPr>
        <w:spacing w:after="0"/>
        <w:jc w:val="both"/>
        <w:rPr>
          <w:bCs/>
        </w:rPr>
      </w:pPr>
      <w:r>
        <w:t xml:space="preserve">„jadernou škodou“ se rozumí </w:t>
      </w:r>
      <w:r w:rsidRPr="002E60F7">
        <w:rPr>
          <w:iCs/>
        </w:rPr>
        <w:t>ztrát</w:t>
      </w:r>
      <w:r>
        <w:rPr>
          <w:iCs/>
        </w:rPr>
        <w:t>a</w:t>
      </w:r>
      <w:r w:rsidRPr="002E60F7">
        <w:rPr>
          <w:iCs/>
        </w:rPr>
        <w:t xml:space="preserve"> života, jakékoliv osobní zranění nebo </w:t>
      </w:r>
      <w:r>
        <w:rPr>
          <w:iCs/>
        </w:rPr>
        <w:t>jakákoli</w:t>
      </w:r>
      <w:r w:rsidRPr="002E60F7">
        <w:rPr>
          <w:iCs/>
        </w:rPr>
        <w:t xml:space="preserve"> ztrát</w:t>
      </w:r>
      <w:r>
        <w:rPr>
          <w:iCs/>
        </w:rPr>
        <w:t>a</w:t>
      </w:r>
      <w:r w:rsidRPr="002E60F7">
        <w:rPr>
          <w:iCs/>
        </w:rPr>
        <w:t xml:space="preserve"> či poškození majetku, které vzniklo nebo je důsledkem radioaktivních vlastností nebo kombinace radioaktivních vlastností s toxickými, výbušnými nebo jinými nebezpečnými vlastnostmi jaderného paliva nebo radioaktivních produktů či odpadu v jaderném materiálu nebo z jaderného materiálu vycházejícího nebo pocházejícího z jaderného zařízení nebo zasílaného do něho.</w:t>
      </w:r>
      <w:r>
        <w:rPr>
          <w:iCs/>
        </w:rPr>
        <w:t>“ J</w:t>
      </w:r>
      <w:r w:rsidRPr="002E60F7">
        <w:rPr>
          <w:iCs/>
        </w:rPr>
        <w:t>adernou škodou je</w:t>
      </w:r>
      <w:r>
        <w:rPr>
          <w:iCs/>
        </w:rPr>
        <w:t xml:space="preserve"> dále</w:t>
      </w:r>
      <w:r w:rsidRPr="002E60F7">
        <w:rPr>
          <w:iCs/>
        </w:rPr>
        <w:t xml:space="preserve"> také škoda vzniklá vynaložením nákladů na nezbytná opatření k odvrácení nebo snížení ozáření nebo k obnovení původního nebo obdobného stavu životního prostředí, pokud byla tato opatření vyvolána v důsledku jaderné události a povaha šk</w:t>
      </w:r>
      <w:r>
        <w:rPr>
          <w:iCs/>
        </w:rPr>
        <w:t>ody to umožňuje,</w:t>
      </w:r>
    </w:p>
    <w:p w:rsidR="00DB6DBA" w:rsidRPr="00170843" w:rsidRDefault="00DB6DBA" w:rsidP="0044189F">
      <w:pPr>
        <w:pStyle w:val="Odstavecseseznamem"/>
        <w:numPr>
          <w:ilvl w:val="0"/>
          <w:numId w:val="43"/>
        </w:numPr>
        <w:spacing w:after="0"/>
        <w:jc w:val="both"/>
        <w:rPr>
          <w:bCs/>
        </w:rPr>
      </w:pPr>
      <w:r>
        <w:t xml:space="preserve">„jaderným zařízením“ je </w:t>
      </w:r>
      <w:r w:rsidRPr="00AC4940">
        <w:t>„jakýkoliv jaderný reaktor jiný než reaktor, jímž je vybaven prostředek námořní či letecké dopravy a který je užíván jako zdroj energie, buď k jeho pohonu, nebo k jakémukoliv jinému účelu; jakoukoliv továrnu využívající jaderné palivo pro výrobu jaderného materiálu, nebo jakoukoliv továrnu na zpracování jaderného materiálu včetně jakékoliv továrny na přepracování ozářeného jaderného paliva; a jakékoliv zařízení, kde je skladováno jaderné palivo, jiné než skladování související</w:t>
      </w:r>
      <w:r>
        <w:t xml:space="preserve"> s přepravou takového materiálu</w:t>
      </w:r>
      <w:r w:rsidRPr="00AC4940">
        <w:t>“</w:t>
      </w:r>
      <w:r>
        <w:t>,</w:t>
      </w:r>
    </w:p>
    <w:p w:rsidR="00DB6DBA" w:rsidRPr="00A71D97" w:rsidRDefault="00DB6DBA" w:rsidP="0044189F">
      <w:pPr>
        <w:pStyle w:val="Odstavecseseznamem"/>
        <w:numPr>
          <w:ilvl w:val="0"/>
          <w:numId w:val="43"/>
        </w:numPr>
        <w:spacing w:after="0"/>
        <w:jc w:val="both"/>
        <w:rPr>
          <w:bCs/>
        </w:rPr>
      </w:pPr>
      <w:r w:rsidRPr="00AC4940">
        <w:t>odpovědnost provozovatele za jaderné škody, způsobené každou jednotlivou jad</w:t>
      </w:r>
      <w:r>
        <w:t xml:space="preserve">ernou událostí, je v souladu s VÚ 1963 omezena částkou </w:t>
      </w:r>
      <w:r w:rsidRPr="00A71D97">
        <w:t>8 miliard Kč pro případy škod, způsobených nehodami v jaderných zařízeních pro energetické účely, ve skladech a úložištích jaderného paliva,</w:t>
      </w:r>
      <w:r>
        <w:t xml:space="preserve"> resp. </w:t>
      </w:r>
      <w:r w:rsidRPr="00A71D97">
        <w:t>částkou 2 miliardy Kč pro případy škod, způsobených nehodami v ostatních jaderných zařízeních (např. ve výzkumných reaktorech) a p</w:t>
      </w:r>
      <w:r>
        <w:t>ři přepravě jaderného materiálu,</w:t>
      </w:r>
    </w:p>
    <w:p w:rsidR="00DB6DBA" w:rsidRPr="00D156F4" w:rsidRDefault="00DB6DBA" w:rsidP="0044189F">
      <w:pPr>
        <w:pStyle w:val="Odstavecseseznamem"/>
        <w:numPr>
          <w:ilvl w:val="0"/>
          <w:numId w:val="43"/>
        </w:numPr>
        <w:spacing w:after="0"/>
        <w:jc w:val="both"/>
        <w:rPr>
          <w:bCs/>
        </w:rPr>
      </w:pPr>
      <w:r w:rsidRPr="00AC4940">
        <w:t xml:space="preserve">provozovatel </w:t>
      </w:r>
      <w:r>
        <w:t>je</w:t>
      </w:r>
      <w:r w:rsidRPr="00AC4940">
        <w:t xml:space="preserve"> zavázán sjednat pojištění, nebo jiné finanční zajištění své odpovědnosti</w:t>
      </w:r>
      <w:r>
        <w:t>, přičemž</w:t>
      </w:r>
      <w:r w:rsidRPr="00AC4940">
        <w:t xml:space="preserve"> </w:t>
      </w:r>
      <w:r>
        <w:t>p</w:t>
      </w:r>
      <w:r w:rsidRPr="00AC4940">
        <w:t xml:space="preserve">ojistná částka pro první typ odpovědnosti </w:t>
      </w:r>
      <w:r>
        <w:t xml:space="preserve">(odpovědnost provozovatele do výše 8 miliard Kč) </w:t>
      </w:r>
      <w:r w:rsidRPr="00AC4940">
        <w:t xml:space="preserve">nesmí být nižší, než 2 miliardy Kč, pro druhý typ odpovědnosti </w:t>
      </w:r>
      <w:r>
        <w:t xml:space="preserve">(odpovědnost provozovatele do výše 2 miliard Kč) </w:t>
      </w:r>
      <w:r w:rsidRPr="00AC4940">
        <w:t>nes</w:t>
      </w:r>
      <w:r>
        <w:t>mí být nižší než 300 milionů Kč,</w:t>
      </w:r>
    </w:p>
    <w:p w:rsidR="00DB6DBA" w:rsidRPr="00500992" w:rsidRDefault="00DB6DBA" w:rsidP="0044189F">
      <w:pPr>
        <w:pStyle w:val="Odstavecseseznamem"/>
        <w:numPr>
          <w:ilvl w:val="0"/>
          <w:numId w:val="43"/>
        </w:numPr>
        <w:spacing w:after="0"/>
        <w:jc w:val="both"/>
        <w:rPr>
          <w:bCs/>
        </w:rPr>
      </w:pPr>
      <w:r>
        <w:rPr>
          <w:bCs/>
        </w:rPr>
        <w:t>VÚ</w:t>
      </w:r>
      <w:r>
        <w:t xml:space="preserve"> 1963</w:t>
      </w:r>
      <w:r w:rsidRPr="00D156F4">
        <w:t xml:space="preserve"> stanovuje, že smluvní strana zajistí uspokojení nároků na náhradu jaderné škody, které byly přiznány vůči provozovateli, poskytnutím potřebných fondů v tom rozsahu, v jakém výnos z pojištění nebo jiné finanční záruky není odpovídající k uspokojení takovýchto nároků, avšak který nepřesáhne limit stanovený</w:t>
      </w:r>
      <w:r>
        <w:t xml:space="preserve"> podle vnitrostátní úpravy; tuto povinnost reflektuje </w:t>
      </w:r>
      <w:proofErr w:type="spellStart"/>
      <w:r>
        <w:t>AtomZ</w:t>
      </w:r>
      <w:proofErr w:type="spellEnd"/>
      <w:r>
        <w:t>, který stanovuje státní záruku</w:t>
      </w:r>
      <w:r w:rsidRPr="00AC4940">
        <w:t xml:space="preserve"> za uspokojení přiznaných nároků na náhradu jaderné škody, pokud nejsou uhrazeny z povinného pojištění anebo jiného stanoveného finančního zajištění a to do částky 8 miliard Kč po vyčerpání plnění pojistitele v rozsahu 2 miliardy Kč </w:t>
      </w:r>
      <w:r w:rsidRPr="00B122F7">
        <w:rPr>
          <w:i/>
        </w:rPr>
        <w:t>a</w:t>
      </w:r>
      <w:r w:rsidRPr="00AC4940">
        <w:t> </w:t>
      </w:r>
      <w:r w:rsidRPr="00B122F7">
        <w:rPr>
          <w:i/>
          <w:iCs/>
        </w:rPr>
        <w:t xml:space="preserve">vice versa </w:t>
      </w:r>
      <w:r>
        <w:t>i pro druhý typ odpovědnosti,</w:t>
      </w:r>
    </w:p>
    <w:p w:rsidR="00DB6DBA" w:rsidRPr="00500992" w:rsidRDefault="00DB6DBA" w:rsidP="0044189F">
      <w:pPr>
        <w:pStyle w:val="Odstavecseseznamem"/>
        <w:numPr>
          <w:ilvl w:val="0"/>
          <w:numId w:val="43"/>
        </w:numPr>
        <w:spacing w:after="0"/>
        <w:jc w:val="both"/>
        <w:rPr>
          <w:bCs/>
        </w:rPr>
      </w:pPr>
      <w:r w:rsidRPr="00500992">
        <w:rPr>
          <w:iCs/>
        </w:rPr>
        <w:t xml:space="preserve">objektivní lhůta pro uplatnění nároků na náhradu za jaderné škody </w:t>
      </w:r>
      <w:r>
        <w:rPr>
          <w:iCs/>
        </w:rPr>
        <w:t xml:space="preserve">je 10 let; </w:t>
      </w:r>
      <w:r w:rsidRPr="00500992">
        <w:rPr>
          <w:iCs/>
        </w:rPr>
        <w:t xml:space="preserve">subjektivní lhůta pro uplatnění těchto nároků </w:t>
      </w:r>
      <w:r>
        <w:rPr>
          <w:iCs/>
        </w:rPr>
        <w:t>jsou 3 roky,</w:t>
      </w:r>
      <w:r w:rsidRPr="00500992">
        <w:rPr>
          <w:iCs/>
        </w:rPr>
        <w:t xml:space="preserve"> </w:t>
      </w:r>
    </w:p>
    <w:p w:rsidR="00DB6DBA" w:rsidRPr="00500992" w:rsidRDefault="00DB6DBA" w:rsidP="0044189F">
      <w:pPr>
        <w:pStyle w:val="Odstavecseseznamem"/>
        <w:numPr>
          <w:ilvl w:val="0"/>
          <w:numId w:val="43"/>
        </w:numPr>
        <w:spacing w:after="120"/>
        <w:jc w:val="both"/>
        <w:rPr>
          <w:bCs/>
        </w:rPr>
      </w:pPr>
      <w:r w:rsidRPr="00AC4940">
        <w:t>soudem příslušným pro rozhodování o žalobách na náhradu škody je výlučně soud na území toho státu, ve kterém k udál</w:t>
      </w:r>
      <w:r>
        <w:t>osti v jaderném zařízení došlo.</w:t>
      </w:r>
    </w:p>
    <w:p w:rsidR="00DB6DBA" w:rsidRPr="0066240C" w:rsidRDefault="00DB6DBA" w:rsidP="00DB6DBA">
      <w:pPr>
        <w:spacing w:after="120"/>
        <w:jc w:val="both"/>
      </w:pPr>
      <w:r w:rsidRPr="0066240C">
        <w:t xml:space="preserve">Z perspektivy České republiky jako významného (středo-) evropského „jaderného“ státu je možné problematiku </w:t>
      </w:r>
      <w:r>
        <w:t>budoucí úpravy odpovědnosti za jaderné škody</w:t>
      </w:r>
      <w:r w:rsidRPr="0066240C">
        <w:t xml:space="preserve"> vnímat v následujících souvislostech:</w:t>
      </w:r>
    </w:p>
    <w:p w:rsidR="00DB6DBA" w:rsidRDefault="00DB6DBA" w:rsidP="0044189F">
      <w:pPr>
        <w:pStyle w:val="Odstavecseseznamem"/>
        <w:numPr>
          <w:ilvl w:val="0"/>
          <w:numId w:val="44"/>
        </w:numPr>
        <w:spacing w:after="0"/>
        <w:jc w:val="both"/>
      </w:pPr>
      <w:r w:rsidRPr="0066240C">
        <w:t xml:space="preserve">Česká republika je smluvní stranou VÚ 1963 a SP 1988. Je zároveň signatářským státem dvou mezinárodních úmluv v oblasti jaderné odpovědnosti, které doposud </w:t>
      </w:r>
      <w:r w:rsidRPr="00275FF7">
        <w:t>neratifikovala</w:t>
      </w:r>
      <w:r w:rsidRPr="0066240C">
        <w:t xml:space="preserve">: </w:t>
      </w:r>
      <w:r w:rsidRPr="008F53CE">
        <w:lastRenderedPageBreak/>
        <w:t>Protokol</w:t>
      </w:r>
      <w:r>
        <w:t>u</w:t>
      </w:r>
      <w:r w:rsidRPr="008F53CE">
        <w:t xml:space="preserve"> z r. 1997 o doplnění Vídeňské úmluvy o odpovědnosti za jaderné škody</w:t>
      </w:r>
      <w:r w:rsidRPr="0066240C">
        <w:t xml:space="preserve"> </w:t>
      </w:r>
      <w:r>
        <w:t xml:space="preserve">(dále jen: „VÚ 1997“) </w:t>
      </w:r>
      <w:r w:rsidRPr="0066240C">
        <w:t xml:space="preserve">a </w:t>
      </w:r>
      <w:r>
        <w:t>Úmluvy</w:t>
      </w:r>
      <w:r w:rsidRPr="008F53CE">
        <w:t xml:space="preserve"> o dodatečné kompenzaci za jaderné škody z r. 1997</w:t>
      </w:r>
      <w:r>
        <w:t xml:space="preserve"> (dále jen: „ÚDK 1997“),</w:t>
      </w:r>
    </w:p>
    <w:p w:rsidR="00DB6DBA" w:rsidRDefault="00DB6DBA" w:rsidP="0044189F">
      <w:pPr>
        <w:pStyle w:val="Odstavecseseznamem"/>
        <w:numPr>
          <w:ilvl w:val="0"/>
          <w:numId w:val="44"/>
        </w:numPr>
        <w:spacing w:after="0"/>
        <w:jc w:val="both"/>
      </w:pPr>
      <w:r>
        <w:t>v</w:t>
      </w:r>
      <w:r w:rsidRPr="0066240C">
        <w:t> západoevropských státech, které jsou smluvními stranami</w:t>
      </w:r>
      <w:r>
        <w:t xml:space="preserve"> Pařížské úmluvy o odpovědnosti za škody v jaderné energetice z r. 1960 a Bruselské úmluvy z r. 1963, kterou se doplňuje Pařížská úmluva z r. 1960</w:t>
      </w:r>
      <w:r w:rsidRPr="0066240C">
        <w:t>, v současnosti probíhá proces ratifikace Protokolů z r. 2004, kterými se dvě uvedené mezinárodní úmluvy mění</w:t>
      </w:r>
      <w:r w:rsidR="00AA2B16">
        <w:t>. V rámci revidovaného Pařížsko-</w:t>
      </w:r>
      <w:r w:rsidRPr="0066240C">
        <w:t>Bruselského systému odpovědnosti a kompenzace (tj. systém tvořený Pařížskou úmluvou z r. 1960 ve znění Protokolu z r. 2004 a Bruselskou úmluvou z r. 1963 ve znění Protokolu z r. 2004) bude kombinací pojištění provozovatelů, veřejných fondů jednotlivých smluvních států a společného mezinárodního fondu vytvořena finanční masa v objemu jeden a půl miliardy EUR za účelem kompenzace každé události v jaderném zařízení, ke které na území smluv</w:t>
      </w:r>
      <w:r>
        <w:t>ních států tohoto systému dojde,</w:t>
      </w:r>
    </w:p>
    <w:p w:rsidR="00DB6DBA" w:rsidRDefault="00DB6DBA" w:rsidP="0044189F">
      <w:pPr>
        <w:pStyle w:val="Odstavecseseznamem"/>
        <w:numPr>
          <w:ilvl w:val="0"/>
          <w:numId w:val="44"/>
        </w:numPr>
        <w:spacing w:after="0"/>
        <w:jc w:val="both"/>
      </w:pPr>
      <w:r>
        <w:t>v</w:t>
      </w:r>
      <w:r w:rsidR="00AA2B16">
        <w:t>e středoevropských</w:t>
      </w:r>
      <w:r w:rsidRPr="0066240C">
        <w:t xml:space="preserve"> a východoevropských státech, které jsou smluvními stranami </w:t>
      </w:r>
      <w:r>
        <w:t xml:space="preserve">VÚ </w:t>
      </w:r>
      <w:r w:rsidRPr="0066240C">
        <w:t>1963</w:t>
      </w:r>
      <w:r>
        <w:t>,</w:t>
      </w:r>
      <w:r w:rsidRPr="0066240C">
        <w:t xml:space="preserve"> </w:t>
      </w:r>
      <w:r>
        <w:t xml:space="preserve">v současnosti probíhá proces přistoupení resp. ratifikace VÚ 1997, zaštítěný a podporovaný Mezinárodní agenturou pro atomovou energii. </w:t>
      </w:r>
      <w:r w:rsidRPr="0066240C">
        <w:t>Některé z těchto států již Protokol z r. 1997 ratifikovali (Rumunsko, Lotyšsko, Polsko), jiné jsou jeho signatářskými státy, ale doposud jej neratifikovaly (</w:t>
      </w:r>
      <w:r>
        <w:t xml:space="preserve">mezi tyto státy patří </w:t>
      </w:r>
      <w:r w:rsidRPr="0066240C">
        <w:t xml:space="preserve">Česká republika, </w:t>
      </w:r>
      <w:r>
        <w:t xml:space="preserve">ale také </w:t>
      </w:r>
      <w:r w:rsidRPr="0066240C">
        <w:t>Maďarsko, Litva</w:t>
      </w:r>
      <w:r>
        <w:t>, Ukrajina),</w:t>
      </w:r>
    </w:p>
    <w:p w:rsidR="00DB6DBA" w:rsidRDefault="00DB6DBA" w:rsidP="0044189F">
      <w:pPr>
        <w:pStyle w:val="Odstavecseseznamem"/>
        <w:numPr>
          <w:ilvl w:val="0"/>
          <w:numId w:val="44"/>
        </w:numPr>
        <w:spacing w:after="0"/>
        <w:jc w:val="both"/>
      </w:pPr>
      <w:r>
        <w:t>v</w:t>
      </w:r>
      <w:r w:rsidRPr="0066240C">
        <w:t>edle dvou tradičních mezinárodních organizací, které jsou v oblasti jaderné odpovědnosti aktivní (Organizace pro ekonomickou spolupráci a rozvoj jako garant Pařížsko</w:t>
      </w:r>
      <w:r w:rsidR="00AA2B16">
        <w:t>-</w:t>
      </w:r>
      <w:r w:rsidRPr="0066240C">
        <w:t xml:space="preserve"> Bruselského systému a Mezinárodní agentura pro atomovou energii jako garant Vídeňského systému) se v posledním období přiradilo i Evropské společenství pro atomovou energii (Euratom). Je možné předpokládat, že reakcí na „</w:t>
      </w:r>
      <w:proofErr w:type="spellStart"/>
      <w:r w:rsidRPr="0066240C">
        <w:t>fukushimské</w:t>
      </w:r>
      <w:proofErr w:type="spellEnd"/>
      <w:r w:rsidRPr="0066240C">
        <w:t>“ události bude snaha Euratomu vytvořit určitou formu vlastního harmonizovaného právního rámce v obl</w:t>
      </w:r>
      <w:r>
        <w:t>asti odpovědnosti a kompenzace,</w:t>
      </w:r>
    </w:p>
    <w:p w:rsidR="00DB6DBA" w:rsidRDefault="00DB6DBA" w:rsidP="0044189F">
      <w:pPr>
        <w:pStyle w:val="Odstavecseseznamem"/>
        <w:numPr>
          <w:ilvl w:val="0"/>
          <w:numId w:val="44"/>
        </w:numPr>
        <w:spacing w:after="0"/>
        <w:jc w:val="both"/>
      </w:pPr>
      <w:r>
        <w:t>ratifikace VÚ 1997 ze strany těch členských států EU, které jsou v současnosti smluvní stranou VÚ 1963 (Česká republika, Slovensko, Maďarsko, Lotyšsko, Estonsko, Bulharsko) byla ze strany EU autorizována rozhodnutím ze dne 15. července 2013 (rozhodnutí Rady 2013/434/EU),</w:t>
      </w:r>
    </w:p>
    <w:p w:rsidR="00DB6DBA" w:rsidRDefault="00DB6DBA" w:rsidP="0044189F">
      <w:pPr>
        <w:pStyle w:val="Odstavecseseznamem"/>
        <w:numPr>
          <w:ilvl w:val="0"/>
          <w:numId w:val="44"/>
        </w:numPr>
        <w:spacing w:after="120"/>
        <w:contextualSpacing w:val="0"/>
        <w:jc w:val="both"/>
      </w:pPr>
      <w:r>
        <w:t>n</w:t>
      </w:r>
      <w:r w:rsidRPr="0066240C">
        <w:t>akonec je třeba zmínit, že v této oblasti jsou aktivní i Spojené státy americké (USA), které se snaží přimět své zahraniční spojence k přistoupení a ratifikaci</w:t>
      </w:r>
      <w:r>
        <w:t xml:space="preserve"> ÚDK 1997</w:t>
      </w:r>
      <w:r w:rsidRPr="0066240C">
        <w:t>, která je jedinou mezinárodní smlouvou v oblasti jaderné odpovědnosti, ke které Spojené státy sami náleží. V Evropě ovšem tuto úmluvu doposud ratifikovalo pouze Rumunsko.</w:t>
      </w:r>
    </w:p>
    <w:p w:rsidR="00DB6DBA" w:rsidRDefault="00DB6DBA" w:rsidP="00DB6DBA">
      <w:pPr>
        <w:spacing w:after="120"/>
        <w:jc w:val="both"/>
      </w:pPr>
      <w:r>
        <w:t>Co se týče budoucí úpravy odpovědnosti za jaderné škody v českém právním řádu, měla by s ohledem na výše uvedené determinanty vycházet z následujících předpokladů:</w:t>
      </w:r>
    </w:p>
    <w:p w:rsidR="00DB6DBA" w:rsidRDefault="00DB6DBA" w:rsidP="0044189F">
      <w:pPr>
        <w:pStyle w:val="Odstavecseseznamem"/>
        <w:numPr>
          <w:ilvl w:val="0"/>
          <w:numId w:val="45"/>
        </w:numPr>
        <w:spacing w:after="0"/>
        <w:jc w:val="both"/>
      </w:pPr>
      <w:r>
        <w:t xml:space="preserve">i budoucí právní úprava by měla zakotvovat ty základní odpovědnostní zásady, které jsou v současnosti hlavními stavebními kameny odpovědnostního režimu obou hlavních mezinárodních režimů (Vídeňského i Pařížského): výlučnou a objektivní odpovědnost provozovatele, možnost státu omezit odpovědnost provozovatele, obligatorní pojištění, výlučnou příslušnost soudu, objektivní a subjektivní lhůtu pro uplatnění nároku na náhradu škody, </w:t>
      </w:r>
    </w:p>
    <w:p w:rsidR="00DB6DBA" w:rsidRDefault="00DB6DBA" w:rsidP="0044189F">
      <w:pPr>
        <w:pStyle w:val="Odstavecseseznamem"/>
        <w:numPr>
          <w:ilvl w:val="0"/>
          <w:numId w:val="45"/>
        </w:numPr>
        <w:spacing w:after="0"/>
        <w:jc w:val="both"/>
      </w:pPr>
      <w:r>
        <w:t>výstavba nových jaderných zařízení a další rozvoj jaderné energetiky v České republice by měla být prováděna i posilováním odpovědnostního rámce,</w:t>
      </w:r>
    </w:p>
    <w:p w:rsidR="00DB6DBA" w:rsidRDefault="00DB6DBA" w:rsidP="0044189F">
      <w:pPr>
        <w:pStyle w:val="Odstavecseseznamem"/>
        <w:numPr>
          <w:ilvl w:val="0"/>
          <w:numId w:val="45"/>
        </w:numPr>
        <w:spacing w:after="0"/>
        <w:jc w:val="both"/>
      </w:pPr>
      <w:r>
        <w:lastRenderedPageBreak/>
        <w:t>Česká republika by měla být i v budoucnu součástí stejného smluvního režimu, do kterého jsou zapojeny i sousední státy a („jaderné“ i „n</w:t>
      </w:r>
      <w:r w:rsidR="00AA2B16">
        <w:t>ejaderné“) státy širšího středoevropského</w:t>
      </w:r>
      <w:r>
        <w:t xml:space="preserve"> a východoevropského prostoru (vč. významných „jaderných“ států, jakými jsou Ruská federace a Ukrajina), přičemž spojení s právním režimem vytvořeným Pařížskou úmluvou o odpovědnosti za škody v jaderné energetice z r. 1960 (vč. revidovaného znění této úmluvy) zajišťuje SP 1988,</w:t>
      </w:r>
    </w:p>
    <w:p w:rsidR="00DB6DBA" w:rsidRDefault="00DB6DBA" w:rsidP="0044189F">
      <w:pPr>
        <w:pStyle w:val="Odstavecseseznamem"/>
        <w:numPr>
          <w:ilvl w:val="0"/>
          <w:numId w:val="45"/>
        </w:numPr>
        <w:spacing w:after="0"/>
        <w:jc w:val="both"/>
      </w:pPr>
      <w:r>
        <w:t>připojení České republiky k revidovanému Pařížsko</w:t>
      </w:r>
      <w:r w:rsidR="00AA2B16">
        <w:t>-</w:t>
      </w:r>
      <w:r>
        <w:t>Bruselskému systému (odpovědnostnímu systému, vytvořenému Pařížskou úmluvou o odpovědnosti za škody v jaderné energetice z r. 1960 a Bruselskou úmluvou z r. 1963, kterou se doplňuje Pařížská úmluva z r. 1960 ve znění Protokolů z r. 2004, není možné považovat za optimální opci. Takový krok by vyžadoval nejprve vypovězení VÚ 1963 (mezinárodně-právní režim neumožňuje státu být současně smluvní stranou obou odpovědnostních režimů) a tím pádem zánik vzájemných odpovědnostních vazeb s jinými významnými jadernými státy širšího středo</w:t>
      </w:r>
      <w:r w:rsidR="003D2893">
        <w:t>evropského</w:t>
      </w:r>
      <w:r>
        <w:t xml:space="preserve"> a východoevropského prostoru (např. s Ruskou federací, která je smluvní stranou VÚ 1963, ale není smluvní stranou SP 1988),</w:t>
      </w:r>
    </w:p>
    <w:p w:rsidR="00DB6DBA" w:rsidRDefault="00DB6DBA" w:rsidP="0044189F">
      <w:pPr>
        <w:pStyle w:val="Odstavecseseznamem"/>
        <w:numPr>
          <w:ilvl w:val="0"/>
          <w:numId w:val="45"/>
        </w:numPr>
        <w:spacing w:after="0"/>
        <w:jc w:val="both"/>
      </w:pPr>
      <w:r>
        <w:t xml:space="preserve">Česká republika by na evropské úrovni měla prosazovat další posilování právního rámce vytvořeného existujícími mezinárodními úmluvami s tím, že jakákoliv legislativní iniciativa ze strany EU nebo Euratomu by neměla tyto odpovědnostní režimy a práva z nich plynoucí narušovat, </w:t>
      </w:r>
    </w:p>
    <w:p w:rsidR="00DB6DBA" w:rsidRDefault="00DB6DBA" w:rsidP="0044189F">
      <w:pPr>
        <w:pStyle w:val="Odstavecseseznamem"/>
        <w:numPr>
          <w:ilvl w:val="0"/>
          <w:numId w:val="45"/>
        </w:numPr>
        <w:spacing w:after="0"/>
        <w:jc w:val="both"/>
      </w:pPr>
      <w:r>
        <w:t>Česká republika by v rámci odpovědnostního režimu, vytvořeného VÚ 1963 měla přikročit k ratifikaci VÚ 1997, která představuje značné posílení Vídeňského odpovědnostního režimu (VÚ 1997 již byla v širším středo- a východoevropském prostoru ratifikována Polskem, Rumunskem, Černou horou, Běloruskem a Bosnou, o ratifikaci VÚ 1997 se v současnosti uvažuje i v Ruské federaci),</w:t>
      </w:r>
    </w:p>
    <w:p w:rsidR="00DB6DBA" w:rsidRDefault="00DB6DBA" w:rsidP="0044189F">
      <w:pPr>
        <w:pStyle w:val="Odstavecseseznamem"/>
        <w:numPr>
          <w:ilvl w:val="0"/>
          <w:numId w:val="45"/>
        </w:numPr>
        <w:spacing w:after="0"/>
        <w:jc w:val="both"/>
      </w:pPr>
      <w:r>
        <w:t>ratifikace VÚ 1997 ze strany České republiky by neměla za následek jenom posílení ochrany potenciálních poškozených, ale byla by pozitivním signálem i vůči zahraničí, vč. těch sousedních států, které se vůči mírovému využívání jaderné energie stavějí negativně,</w:t>
      </w:r>
    </w:p>
    <w:p w:rsidR="00DB6DBA" w:rsidRDefault="00DB6DBA" w:rsidP="0044189F">
      <w:pPr>
        <w:pStyle w:val="Odstavecseseznamem"/>
        <w:numPr>
          <w:ilvl w:val="0"/>
          <w:numId w:val="45"/>
        </w:numPr>
        <w:spacing w:after="120"/>
        <w:jc w:val="both"/>
      </w:pPr>
      <w:r>
        <w:t xml:space="preserve">ratifikace VÚ 1997 ze strany České republiky by dále v případě budoucích pokusů Euratomu, resp. EU o ingerenci do vnitrostátní právní úpravy odpovědnosti za jaderné škody mohla sloužit jako argument, že Česká republika přijala a do svého právního rámce transponovala nejnovější formy odpovědnosti, které mezinárodní právo v této oblasti nabízí. </w:t>
      </w:r>
    </w:p>
    <w:p w:rsidR="00DB6DBA" w:rsidRDefault="00DB6DBA" w:rsidP="00DB6DBA">
      <w:pPr>
        <w:spacing w:after="120"/>
        <w:jc w:val="both"/>
        <w:rPr>
          <w:iCs/>
        </w:rPr>
      </w:pPr>
      <w:r w:rsidRPr="00AF1230">
        <w:rPr>
          <w:b/>
        </w:rPr>
        <w:t>Jako optimální nástroj budoucího vývoje odpovědnosti za jaderné škody se tedy nabízí ratifikace VÚ 1997 a její transpozice do vnitrostátního právního řádu České republiky.</w:t>
      </w:r>
      <w:r>
        <w:t xml:space="preserve"> Odpovědnostní režim, vytvořený VÚ 1997, </w:t>
      </w:r>
      <w:r w:rsidRPr="00AC4940">
        <w:rPr>
          <w:iCs/>
        </w:rPr>
        <w:t>je</w:t>
      </w:r>
      <w:r>
        <w:rPr>
          <w:iCs/>
        </w:rPr>
        <w:t xml:space="preserve"> přitom</w:t>
      </w:r>
      <w:r w:rsidRPr="00AC4940">
        <w:rPr>
          <w:iCs/>
        </w:rPr>
        <w:t xml:space="preserve"> založený na identických p</w:t>
      </w:r>
      <w:r>
        <w:rPr>
          <w:iCs/>
        </w:rPr>
        <w:t>rávních zásadách, jako VÚ 1963 (</w:t>
      </w:r>
      <w:r w:rsidRPr="00AC4940">
        <w:rPr>
          <w:iCs/>
        </w:rPr>
        <w:t>tj. na zásadě výlučné a objektivní odpovědnosti provozovatele, stanovení minimálního limitu odpovědnosti, povinného pojištění odpovědnosti, objektivní a s</w:t>
      </w:r>
      <w:r>
        <w:rPr>
          <w:iCs/>
        </w:rPr>
        <w:t>ubjektivní promlčecí lhůtě atd.).</w:t>
      </w:r>
    </w:p>
    <w:p w:rsidR="00DB6DBA" w:rsidRDefault="00DB6DBA" w:rsidP="00DB6DBA">
      <w:pPr>
        <w:spacing w:after="120"/>
        <w:jc w:val="both"/>
      </w:pPr>
      <w:r>
        <w:rPr>
          <w:iCs/>
        </w:rPr>
        <w:t>VÚ 1997 zároveň není (stejně jako je tomu v případě VÚ 1963) „</w:t>
      </w:r>
      <w:proofErr w:type="spellStart"/>
      <w:r>
        <w:rPr>
          <w:iCs/>
        </w:rPr>
        <w:t>samovykonatelnou</w:t>
      </w:r>
      <w:proofErr w:type="spellEnd"/>
      <w:r>
        <w:rPr>
          <w:iCs/>
        </w:rPr>
        <w:t xml:space="preserve">“ mezinárodní úmluvou, tj. její ustanovení předpokládají transpozici do vnitrostátního právního řádu. </w:t>
      </w:r>
      <w:r>
        <w:t xml:space="preserve">Z těch ustanovení VÚ 1997, </w:t>
      </w:r>
      <w:r w:rsidRPr="00AC4940">
        <w:t xml:space="preserve">které je možné považovat za stěžejní a které by v případě </w:t>
      </w:r>
      <w:r>
        <w:t>ratifikace vyžadovaly</w:t>
      </w:r>
      <w:r w:rsidRPr="00AC4940">
        <w:t xml:space="preserve"> transpoz</w:t>
      </w:r>
      <w:r>
        <w:t>ici do národního právního řádu lze uvést následující:</w:t>
      </w:r>
    </w:p>
    <w:p w:rsidR="00491ABA" w:rsidRDefault="00DB6DBA" w:rsidP="0044189F">
      <w:pPr>
        <w:pStyle w:val="Odstavecseseznamem"/>
        <w:numPr>
          <w:ilvl w:val="0"/>
          <w:numId w:val="46"/>
        </w:numPr>
        <w:spacing w:after="120"/>
        <w:jc w:val="both"/>
      </w:pPr>
      <w:r>
        <w:rPr>
          <w:iCs/>
        </w:rPr>
        <w:t>j</w:t>
      </w:r>
      <w:r w:rsidRPr="00D22B9A">
        <w:rPr>
          <w:iCs/>
        </w:rPr>
        <w:t xml:space="preserve">ednou z nejvýznamnějších změn, kterou </w:t>
      </w:r>
      <w:r>
        <w:rPr>
          <w:iCs/>
        </w:rPr>
        <w:t xml:space="preserve">VÚ 1997 </w:t>
      </w:r>
      <w:r w:rsidRPr="00D22B9A">
        <w:rPr>
          <w:iCs/>
        </w:rPr>
        <w:t xml:space="preserve">přináší, je významné zvýšení minimálních limitů odpovědnosti. </w:t>
      </w:r>
      <w:r>
        <w:rPr>
          <w:iCs/>
        </w:rPr>
        <w:t xml:space="preserve">VÚ 1997 </w:t>
      </w:r>
      <w:r w:rsidRPr="00AC4940">
        <w:t>nově váže minimální limit odpovědnosti na zvláštní práva čerpání (</w:t>
      </w:r>
      <w:proofErr w:type="spellStart"/>
      <w:r w:rsidRPr="00CC3B5F">
        <w:rPr>
          <w:i/>
        </w:rPr>
        <w:t>Special</w:t>
      </w:r>
      <w:proofErr w:type="spellEnd"/>
      <w:r w:rsidRPr="00CC3B5F">
        <w:rPr>
          <w:i/>
        </w:rPr>
        <w:t xml:space="preserve"> </w:t>
      </w:r>
      <w:proofErr w:type="spellStart"/>
      <w:r w:rsidRPr="00CC3B5F">
        <w:rPr>
          <w:i/>
        </w:rPr>
        <w:t>Drawing</w:t>
      </w:r>
      <w:proofErr w:type="spellEnd"/>
      <w:r w:rsidRPr="00CC3B5F">
        <w:rPr>
          <w:i/>
        </w:rPr>
        <w:t xml:space="preserve"> </w:t>
      </w:r>
      <w:proofErr w:type="spellStart"/>
      <w:r w:rsidRPr="00CC3B5F">
        <w:rPr>
          <w:i/>
        </w:rPr>
        <w:t>Rights</w:t>
      </w:r>
      <w:proofErr w:type="spellEnd"/>
      <w:r w:rsidR="005B12EA">
        <w:rPr>
          <w:i/>
        </w:rPr>
        <w:t xml:space="preserve"> –</w:t>
      </w:r>
      <w:r w:rsidRPr="00CC3B5F">
        <w:rPr>
          <w:i/>
        </w:rPr>
        <w:t xml:space="preserve"> SDR</w:t>
      </w:r>
      <w:r w:rsidRPr="00AC4940">
        <w:t xml:space="preserve">). </w:t>
      </w:r>
      <w:r>
        <w:t>VÚ 1997</w:t>
      </w:r>
      <w:r w:rsidRPr="00AC4940">
        <w:t xml:space="preserve"> zároveň</w:t>
      </w:r>
      <w:r w:rsidRPr="00CC3B5F">
        <w:rPr>
          <w:i/>
        </w:rPr>
        <w:t xml:space="preserve"> </w:t>
      </w:r>
      <w:r w:rsidRPr="00AC4940">
        <w:t>obsahuje následující tři varianty stanovení minimálního limit</w:t>
      </w:r>
      <w:r>
        <w:t>u</w:t>
      </w:r>
      <w:r w:rsidRPr="00AC4940">
        <w:t xml:space="preserve"> odpovědnosti prov</w:t>
      </w:r>
      <w:r>
        <w:t xml:space="preserve">ozovatele v národní legislativě (a) </w:t>
      </w:r>
      <w:r w:rsidRPr="00CC3B5F">
        <w:rPr>
          <w:bCs/>
        </w:rPr>
        <w:t xml:space="preserve">stanovení </w:t>
      </w:r>
      <w:r w:rsidRPr="00CC3B5F">
        <w:rPr>
          <w:bCs/>
        </w:rPr>
        <w:lastRenderedPageBreak/>
        <w:t>limitu odpovědnosti provozovatele minimálně ve výši 300 milionů SDR,</w:t>
      </w:r>
      <w:r>
        <w:rPr>
          <w:bCs/>
        </w:rPr>
        <w:t xml:space="preserve"> (b) </w:t>
      </w:r>
      <w:r w:rsidRPr="00CC3B5F">
        <w:rPr>
          <w:bCs/>
        </w:rPr>
        <w:t>stanovení limitu odpovědnosti provozovatele minimálně ve výši 150 milionů SDR (částka „x“) s tím, že objem prostředků ve výši rozdílu mezi částkou x a 300 miliony SDR bude vytvořen p</w:t>
      </w:r>
      <w:r>
        <w:rPr>
          <w:bCs/>
        </w:rPr>
        <w:t xml:space="preserve">rostřednictvím veřejných fondů, (c) </w:t>
      </w:r>
      <w:r w:rsidRPr="00CC3B5F">
        <w:rPr>
          <w:bCs/>
        </w:rPr>
        <w:t>stanovení limitu odpovědnosti provozovatele minimálně ve výši 100 milionů SDR</w:t>
      </w:r>
      <w:r w:rsidRPr="00CC3B5F">
        <w:rPr>
          <w:b/>
          <w:bCs/>
        </w:rPr>
        <w:t xml:space="preserve">, </w:t>
      </w:r>
      <w:r w:rsidRPr="00CC3B5F">
        <w:rPr>
          <w:bCs/>
        </w:rPr>
        <w:t>které je dle Protokolu z r. 1997 přípustné jenom na přechodnou dobu patnácti let o</w:t>
      </w:r>
      <w:r>
        <w:rPr>
          <w:bCs/>
        </w:rPr>
        <w:t>de dne nabytí platnosti VÚ 1997 (</w:t>
      </w:r>
      <w:r w:rsidRPr="00CC3B5F">
        <w:t xml:space="preserve">VÚ 1997 nabyla platnosti v r. 2003, přechodná 15letá lhůta (tzv. </w:t>
      </w:r>
      <w:r>
        <w:t>„</w:t>
      </w:r>
      <w:proofErr w:type="spellStart"/>
      <w:r w:rsidRPr="00CC3B5F">
        <w:t>phasing</w:t>
      </w:r>
      <w:proofErr w:type="spellEnd"/>
      <w:r w:rsidRPr="00CC3B5F">
        <w:t xml:space="preserve">-in </w:t>
      </w:r>
      <w:proofErr w:type="spellStart"/>
      <w:r w:rsidRPr="00CC3B5F">
        <w:t>mechanism</w:t>
      </w:r>
      <w:proofErr w:type="spellEnd"/>
      <w:r>
        <w:t>“) tedy uběhne v r. 2018,</w:t>
      </w:r>
    </w:p>
    <w:p w:rsidR="00DB6DBA" w:rsidRPr="002125D8" w:rsidRDefault="00DB6DBA" w:rsidP="0044189F">
      <w:pPr>
        <w:pStyle w:val="Odstavecseseznamem"/>
        <w:numPr>
          <w:ilvl w:val="0"/>
          <w:numId w:val="46"/>
        </w:numPr>
        <w:spacing w:after="120"/>
        <w:jc w:val="both"/>
      </w:pPr>
      <w:r>
        <w:rPr>
          <w:iCs/>
        </w:rPr>
        <w:t>z</w:t>
      </w:r>
      <w:r w:rsidRPr="002125D8">
        <w:rPr>
          <w:iCs/>
        </w:rPr>
        <w:t> výše uvedeného plyne, že</w:t>
      </w:r>
      <w:r>
        <w:rPr>
          <w:iCs/>
        </w:rPr>
        <w:t xml:space="preserve"> ratifikace VÚ 1997 </w:t>
      </w:r>
      <w:r w:rsidRPr="002125D8">
        <w:rPr>
          <w:iCs/>
        </w:rPr>
        <w:t xml:space="preserve">by </w:t>
      </w:r>
      <w:r>
        <w:rPr>
          <w:iCs/>
        </w:rPr>
        <w:t>byla ve vnitrostátním právu možná prostřednictvím následujících alternativ: (a) navýšení</w:t>
      </w:r>
      <w:r w:rsidRPr="002125D8">
        <w:rPr>
          <w:iCs/>
        </w:rPr>
        <w:t xml:space="preserve"> limit</w:t>
      </w:r>
      <w:r>
        <w:rPr>
          <w:iCs/>
        </w:rPr>
        <w:t>u</w:t>
      </w:r>
      <w:r w:rsidRPr="002125D8">
        <w:rPr>
          <w:iCs/>
        </w:rPr>
        <w:t xml:space="preserve"> odpovědnosti provozovatele do částky 300 milionů SDR, vyjádřené v českých korunách,</w:t>
      </w:r>
      <w:r>
        <w:rPr>
          <w:iCs/>
        </w:rPr>
        <w:t xml:space="preserve"> (b) zachování</w:t>
      </w:r>
      <w:r w:rsidRPr="002125D8">
        <w:rPr>
          <w:iCs/>
        </w:rPr>
        <w:t xml:space="preserve"> stávající</w:t>
      </w:r>
      <w:r>
        <w:rPr>
          <w:iCs/>
        </w:rPr>
        <w:t>ho</w:t>
      </w:r>
      <w:r w:rsidRPr="002125D8">
        <w:rPr>
          <w:iCs/>
        </w:rPr>
        <w:t xml:space="preserve"> limit</w:t>
      </w:r>
      <w:r>
        <w:rPr>
          <w:iCs/>
        </w:rPr>
        <w:t>u</w:t>
      </w:r>
      <w:r w:rsidRPr="002125D8">
        <w:rPr>
          <w:iCs/>
        </w:rPr>
        <w:t xml:space="preserve"> odpov</w:t>
      </w:r>
      <w:r>
        <w:rPr>
          <w:iCs/>
        </w:rPr>
        <w:t>ědnosti provozovatele a vytvoření veřejného</w:t>
      </w:r>
      <w:r w:rsidRPr="002125D8">
        <w:rPr>
          <w:iCs/>
        </w:rPr>
        <w:t xml:space="preserve"> finanční</w:t>
      </w:r>
      <w:r>
        <w:rPr>
          <w:iCs/>
        </w:rPr>
        <w:t>ho</w:t>
      </w:r>
      <w:r w:rsidRPr="002125D8">
        <w:rPr>
          <w:iCs/>
        </w:rPr>
        <w:t xml:space="preserve"> fond</w:t>
      </w:r>
      <w:r>
        <w:rPr>
          <w:iCs/>
        </w:rPr>
        <w:t>u</w:t>
      </w:r>
      <w:r w:rsidRPr="002125D8">
        <w:rPr>
          <w:iCs/>
        </w:rPr>
        <w:t xml:space="preserve"> ze státních prostředků v objemu rozdílu mezi limitem odpovědnosti provozovatele a částkou, p</w:t>
      </w:r>
      <w:r>
        <w:rPr>
          <w:iCs/>
        </w:rPr>
        <w:t>ožadovanou ve VÚ 1997</w:t>
      </w:r>
      <w:r w:rsidRPr="002125D8">
        <w:rPr>
          <w:iCs/>
        </w:rPr>
        <w:t>,</w:t>
      </w:r>
      <w:r>
        <w:rPr>
          <w:iCs/>
        </w:rPr>
        <w:t xml:space="preserve"> (c) ponechání stávajícího limitu odpovědnosti provozovatelem</w:t>
      </w:r>
      <w:r w:rsidRPr="002125D8">
        <w:rPr>
          <w:iCs/>
        </w:rPr>
        <w:t xml:space="preserve"> po přechodnou dobu (do r. 2018) </w:t>
      </w:r>
      <w:r>
        <w:rPr>
          <w:iCs/>
        </w:rPr>
        <w:t>a</w:t>
      </w:r>
      <w:r w:rsidRPr="002125D8">
        <w:rPr>
          <w:iCs/>
        </w:rPr>
        <w:t> navýšení limitů, anebo k vytv</w:t>
      </w:r>
      <w:r>
        <w:rPr>
          <w:iCs/>
        </w:rPr>
        <w:t>oření veřejného fondu až po uplynutí tohoto období,</w:t>
      </w:r>
    </w:p>
    <w:p w:rsidR="00DB6DBA" w:rsidRPr="002125D8" w:rsidRDefault="00DB6DBA" w:rsidP="0044189F">
      <w:pPr>
        <w:pStyle w:val="Odstavecseseznamem"/>
        <w:numPr>
          <w:ilvl w:val="0"/>
          <w:numId w:val="46"/>
        </w:numPr>
        <w:spacing w:after="120"/>
        <w:jc w:val="both"/>
      </w:pPr>
      <w:r>
        <w:rPr>
          <w:iCs/>
        </w:rPr>
        <w:t xml:space="preserve">z </w:t>
      </w:r>
      <w:r w:rsidRPr="002125D8">
        <w:rPr>
          <w:iCs/>
        </w:rPr>
        <w:t xml:space="preserve">výše uvedeného plyne, že stěžejním problémem případné ratifikace </w:t>
      </w:r>
      <w:r>
        <w:rPr>
          <w:iCs/>
        </w:rPr>
        <w:t>VÚ</w:t>
      </w:r>
      <w:r w:rsidRPr="002125D8">
        <w:rPr>
          <w:iCs/>
        </w:rPr>
        <w:t xml:space="preserve"> 1997 budou jeho finanční </w:t>
      </w:r>
      <w:r w:rsidRPr="00AF1230">
        <w:rPr>
          <w:iCs/>
        </w:rPr>
        <w:t xml:space="preserve">implikace (srov. Tabulku č. 1). Transpozice požadavků VÚ 1997 ohledně minimálního limitu odpovědnosti bude mít tedy za následek </w:t>
      </w:r>
      <w:r w:rsidRPr="002125D8">
        <w:rPr>
          <w:iCs/>
        </w:rPr>
        <w:t xml:space="preserve">buď navýšení odpovědnosti provozovatele (a tím </w:t>
      </w:r>
      <w:r w:rsidRPr="002125D8">
        <w:rPr>
          <w:i/>
          <w:iCs/>
        </w:rPr>
        <w:t xml:space="preserve">via facti </w:t>
      </w:r>
      <w:r w:rsidRPr="002125D8">
        <w:rPr>
          <w:iCs/>
        </w:rPr>
        <w:t>zvýšení jeho nákladů, které se mohou promítnout do ceny elektrické energie), nebo zatížení veřejných rozpočtů vytvořen</w:t>
      </w:r>
      <w:r>
        <w:rPr>
          <w:iCs/>
        </w:rPr>
        <w:t>ím zvláštního finančního fondu,</w:t>
      </w:r>
    </w:p>
    <w:p w:rsidR="00DB6DBA" w:rsidRPr="00F2579C" w:rsidRDefault="00DB6DBA" w:rsidP="0044189F">
      <w:pPr>
        <w:pStyle w:val="Odstavecseseznamem"/>
        <w:numPr>
          <w:ilvl w:val="0"/>
          <w:numId w:val="46"/>
        </w:numPr>
        <w:spacing w:after="120"/>
        <w:jc w:val="both"/>
      </w:pPr>
      <w:r>
        <w:rPr>
          <w:iCs/>
        </w:rPr>
        <w:t xml:space="preserve">VÚ 1997 </w:t>
      </w:r>
      <w:r w:rsidRPr="00F2579C">
        <w:rPr>
          <w:bCs/>
        </w:rPr>
        <w:t>dále obsahuje značné rozšíření pojmu „jaderná škoda“. Kromě „</w:t>
      </w:r>
      <w:r w:rsidRPr="00F2579C">
        <w:rPr>
          <w:iCs/>
        </w:rPr>
        <w:t>ztráty života, jakéhokoliv osobního zranění nebo jakékoliv ztráty</w:t>
      </w:r>
      <w:r>
        <w:rPr>
          <w:iCs/>
        </w:rPr>
        <w:t xml:space="preserve"> či poškození majetku“ (jak je škoda vymezena ve VÚ 1963), zavádí VÚ</w:t>
      </w:r>
      <w:r w:rsidRPr="00F2579C">
        <w:rPr>
          <w:iCs/>
        </w:rPr>
        <w:t xml:space="preserve"> 1997 další druhy škody:</w:t>
      </w:r>
      <w:r>
        <w:rPr>
          <w:iCs/>
        </w:rPr>
        <w:t xml:space="preserve"> (a) </w:t>
      </w:r>
      <w:r w:rsidRPr="00F2579C">
        <w:rPr>
          <w:bCs/>
        </w:rPr>
        <w:t xml:space="preserve">ekonomickou újmu, způsobenou výše uvedenými škodami, pokud byla utrpěna osobou oprávněnou k náhradě výše uvedených škod, </w:t>
      </w:r>
      <w:r>
        <w:rPr>
          <w:bCs/>
        </w:rPr>
        <w:t xml:space="preserve">(b) </w:t>
      </w:r>
      <w:r w:rsidRPr="00F2579C">
        <w:t xml:space="preserve">náklady na opatření, která byla </w:t>
      </w:r>
      <w:r w:rsidR="007937CD">
        <w:t>realizována</w:t>
      </w:r>
      <w:r w:rsidR="007937CD" w:rsidRPr="00F2579C">
        <w:t xml:space="preserve"> </w:t>
      </w:r>
      <w:r w:rsidRPr="00F2579C">
        <w:t>za účelem vrácení poškozeného životního prostředí do původního stavu</w:t>
      </w:r>
      <w:r w:rsidR="00073A29">
        <w:t>,</w:t>
      </w:r>
      <w:r w:rsidRPr="00F2579C">
        <w:t xml:space="preserve"> a to v případě, že tato opatření byla skutečně vynaložena, nebo budou vynaložena v budoucnosti, </w:t>
      </w:r>
      <w:r>
        <w:t xml:space="preserve">(c) </w:t>
      </w:r>
      <w:r w:rsidRPr="00F2579C">
        <w:t>ztráty příjmu, které byly spojené s hospodářským zájmem na využívání životního prostředí a které nastaly v důsledku značné přeměny tohoto prostředí,</w:t>
      </w:r>
      <w:r>
        <w:t xml:space="preserve"> (d) </w:t>
      </w:r>
      <w:r w:rsidRPr="00F2579C">
        <w:t>náklady preventivních opatření a újmy a škod</w:t>
      </w:r>
      <w:r>
        <w:t xml:space="preserve">y, způsobené těmito opatřeními, (e) </w:t>
      </w:r>
      <w:r w:rsidRPr="00F2579C">
        <w:rPr>
          <w:bCs/>
        </w:rPr>
        <w:t xml:space="preserve">konečně obsahuje </w:t>
      </w:r>
      <w:r>
        <w:rPr>
          <w:bCs/>
        </w:rPr>
        <w:t xml:space="preserve">VÚ </w:t>
      </w:r>
      <w:r w:rsidRPr="00F2579C">
        <w:rPr>
          <w:bCs/>
        </w:rPr>
        <w:t>1997 klauzuli, která pod pojem „jaderné škody“ zahrnuje jakoukoliv jinou hospodářskou újmu odlišnou od případů poškození životního prostředí, za předpokladu, že je taková škoda kompatibilní s vym</w:t>
      </w:r>
      <w:r>
        <w:rPr>
          <w:bCs/>
        </w:rPr>
        <w:t>ezením v národním právním řádu,</w:t>
      </w:r>
    </w:p>
    <w:p w:rsidR="00E963D2" w:rsidRDefault="00DB6DBA" w:rsidP="0044189F">
      <w:pPr>
        <w:pStyle w:val="Odstavecseseznamem"/>
        <w:numPr>
          <w:ilvl w:val="0"/>
          <w:numId w:val="46"/>
        </w:numPr>
        <w:ind w:left="714" w:hanging="357"/>
        <w:contextualSpacing w:val="0"/>
        <w:jc w:val="both"/>
      </w:pPr>
      <w:r>
        <w:rPr>
          <w:bCs/>
        </w:rPr>
        <w:t xml:space="preserve">VÚ </w:t>
      </w:r>
      <w:r w:rsidRPr="00AC4940">
        <w:t xml:space="preserve">1997 </w:t>
      </w:r>
      <w:r>
        <w:t>dále</w:t>
      </w:r>
      <w:r w:rsidRPr="00AC4940">
        <w:t xml:space="preserve"> prodlužuje objektivní lhůt</w:t>
      </w:r>
      <w:r>
        <w:t xml:space="preserve">u k uplatnění nároku na 30 let; </w:t>
      </w:r>
      <w:r w:rsidRPr="00AC4940">
        <w:t>umožňuje smluvním stranám, aby stanovily ve své národní legislativě lhůtu delší, ovšem jenom za podmínky, že po tuto dobu bude trvat i povinné pojištění odpovědnosti provozovatele.  Nové vymezení objektiv</w:t>
      </w:r>
      <w:r>
        <w:t xml:space="preserve">ní lhůty pro uplatnění nároků ve VÚ </w:t>
      </w:r>
      <w:r w:rsidRPr="00AC4940">
        <w:t xml:space="preserve">1997 </w:t>
      </w:r>
      <w:r>
        <w:t>bude nutno transponovat i do vnitrostátní právní úpravy.</w:t>
      </w:r>
    </w:p>
    <w:p w:rsidR="00E963D2" w:rsidRDefault="00E963D2">
      <w:r>
        <w:br w:type="page"/>
      </w:r>
    </w:p>
    <w:p w:rsidR="00C223D0" w:rsidRDefault="00C223D0" w:rsidP="00C223D0">
      <w:pPr>
        <w:pStyle w:val="Titulek"/>
        <w:keepNext/>
        <w:jc w:val="both"/>
        <w:rPr>
          <w:rFonts w:cs="Times New Roman"/>
          <w:b w:val="0"/>
          <w:bCs w:val="0"/>
          <w:i/>
          <w:color w:val="auto"/>
          <w:sz w:val="22"/>
          <w:szCs w:val="22"/>
        </w:rPr>
      </w:pPr>
      <w:bookmarkStart w:id="125" w:name="_Toc420058311"/>
      <w:r w:rsidRPr="00C223D0">
        <w:rPr>
          <w:bCs w:val="0"/>
          <w:color w:val="auto"/>
          <w:sz w:val="22"/>
          <w:szCs w:val="22"/>
        </w:rPr>
        <w:lastRenderedPageBreak/>
        <w:t xml:space="preserve">Tabulka č. </w:t>
      </w:r>
      <w:r w:rsidRPr="00C223D0">
        <w:rPr>
          <w:bCs w:val="0"/>
          <w:color w:val="auto"/>
          <w:sz w:val="22"/>
          <w:szCs w:val="22"/>
        </w:rPr>
        <w:fldChar w:fldCharType="begin"/>
      </w:r>
      <w:r w:rsidRPr="00C223D0">
        <w:rPr>
          <w:bCs w:val="0"/>
          <w:color w:val="auto"/>
          <w:sz w:val="22"/>
          <w:szCs w:val="22"/>
        </w:rPr>
        <w:instrText xml:space="preserve"> SEQ Tabulka_č. \* ARABIC </w:instrText>
      </w:r>
      <w:r w:rsidRPr="00C223D0">
        <w:rPr>
          <w:bCs w:val="0"/>
          <w:color w:val="auto"/>
          <w:sz w:val="22"/>
          <w:szCs w:val="22"/>
        </w:rPr>
        <w:fldChar w:fldCharType="separate"/>
      </w:r>
      <w:r w:rsidR="00FE1E1A">
        <w:rPr>
          <w:bCs w:val="0"/>
          <w:noProof/>
          <w:color w:val="auto"/>
          <w:sz w:val="22"/>
          <w:szCs w:val="22"/>
        </w:rPr>
        <w:t>7</w:t>
      </w:r>
      <w:r w:rsidRPr="00C223D0">
        <w:rPr>
          <w:bCs w:val="0"/>
          <w:color w:val="auto"/>
          <w:sz w:val="22"/>
          <w:szCs w:val="22"/>
        </w:rPr>
        <w:fldChar w:fldCharType="end"/>
      </w:r>
      <w:r w:rsidRPr="00C223D0">
        <w:rPr>
          <w:bCs w:val="0"/>
          <w:color w:val="auto"/>
          <w:sz w:val="22"/>
          <w:szCs w:val="22"/>
        </w:rPr>
        <w:t>:</w:t>
      </w:r>
      <w:r w:rsidRPr="00C223D0">
        <w:rPr>
          <w:rFonts w:cs="Times New Roman"/>
          <w:b w:val="0"/>
          <w:bCs w:val="0"/>
          <w:i/>
          <w:color w:val="auto"/>
          <w:sz w:val="22"/>
          <w:szCs w:val="22"/>
        </w:rPr>
        <w:t xml:space="preserve"> Srovnání úpravy limitů odpovědnosti provozovatele v současné vnitrostátní legislativě České republiky a limitů požadovaných V</w:t>
      </w:r>
      <w:r w:rsidR="003E5D8F">
        <w:rPr>
          <w:rFonts w:cs="Times New Roman"/>
          <w:b w:val="0"/>
          <w:bCs w:val="0"/>
          <w:i/>
          <w:color w:val="auto"/>
          <w:sz w:val="22"/>
          <w:szCs w:val="22"/>
        </w:rPr>
        <w:t>Ú</w:t>
      </w:r>
      <w:r w:rsidRPr="00C223D0">
        <w:rPr>
          <w:rFonts w:cs="Times New Roman"/>
          <w:b w:val="0"/>
          <w:bCs w:val="0"/>
          <w:i/>
          <w:color w:val="auto"/>
          <w:sz w:val="22"/>
          <w:szCs w:val="22"/>
        </w:rPr>
        <w:t xml:space="preserve"> 1997</w:t>
      </w:r>
      <w:bookmarkEnd w:id="125"/>
    </w:p>
    <w:tbl>
      <w:tblPr>
        <w:tblStyle w:val="Mkatabulky"/>
        <w:tblW w:w="0" w:type="auto"/>
        <w:tblLook w:val="04A0" w:firstRow="1" w:lastRow="0" w:firstColumn="1" w:lastColumn="0" w:noHBand="0" w:noVBand="1"/>
      </w:tblPr>
      <w:tblGrid>
        <w:gridCol w:w="3070"/>
        <w:gridCol w:w="3071"/>
        <w:gridCol w:w="3071"/>
      </w:tblGrid>
      <w:tr w:rsidR="00215B5A" w:rsidRPr="00215B5A" w:rsidTr="00215B5A">
        <w:tc>
          <w:tcPr>
            <w:tcW w:w="3070" w:type="dxa"/>
            <w:tcBorders>
              <w:top w:val="single" w:sz="12" w:space="0" w:color="auto"/>
              <w:left w:val="single" w:sz="12" w:space="0" w:color="auto"/>
              <w:bottom w:val="single" w:sz="12" w:space="0" w:color="auto"/>
            </w:tcBorders>
            <w:shd w:val="clear" w:color="auto" w:fill="B8CCE4" w:themeFill="accent1" w:themeFillTint="66"/>
            <w:vAlign w:val="center"/>
          </w:tcPr>
          <w:p w:rsidR="00215B5A" w:rsidRPr="00215B5A" w:rsidRDefault="00215B5A" w:rsidP="00215B5A">
            <w:pPr>
              <w:spacing w:line="276" w:lineRule="auto"/>
              <w:rPr>
                <w:rFonts w:asciiTheme="minorHAnsi" w:hAnsiTheme="minorHAnsi"/>
                <w:b/>
                <w:bCs/>
                <w:sz w:val="22"/>
              </w:rPr>
            </w:pPr>
            <w:r w:rsidRPr="00215B5A">
              <w:rPr>
                <w:rFonts w:asciiTheme="minorHAnsi" w:hAnsiTheme="minorHAnsi"/>
                <w:b/>
                <w:bCs/>
                <w:sz w:val="22"/>
              </w:rPr>
              <w:t>Limity stanovené v současné</w:t>
            </w:r>
          </w:p>
          <w:p w:rsidR="00215B5A" w:rsidRPr="00215B5A" w:rsidRDefault="00215B5A" w:rsidP="00215B5A">
            <w:pPr>
              <w:spacing w:line="276" w:lineRule="auto"/>
              <w:rPr>
                <w:rFonts w:asciiTheme="minorHAnsi" w:hAnsiTheme="minorHAnsi"/>
                <w:sz w:val="22"/>
              </w:rPr>
            </w:pPr>
            <w:r w:rsidRPr="00215B5A">
              <w:rPr>
                <w:rFonts w:asciiTheme="minorHAnsi" w:hAnsiTheme="minorHAnsi"/>
                <w:b/>
                <w:bCs/>
                <w:sz w:val="22"/>
              </w:rPr>
              <w:t>vnitrostátní legislativě</w:t>
            </w:r>
          </w:p>
        </w:tc>
        <w:tc>
          <w:tcPr>
            <w:tcW w:w="3071" w:type="dxa"/>
            <w:tcBorders>
              <w:top w:val="single" w:sz="12" w:space="0" w:color="auto"/>
              <w:bottom w:val="single" w:sz="12" w:space="0" w:color="auto"/>
            </w:tcBorders>
            <w:shd w:val="clear" w:color="auto" w:fill="B8CCE4" w:themeFill="accent1" w:themeFillTint="66"/>
            <w:vAlign w:val="center"/>
          </w:tcPr>
          <w:p w:rsidR="00215B5A" w:rsidRPr="00215B5A" w:rsidRDefault="00215B5A" w:rsidP="00215B5A">
            <w:pPr>
              <w:spacing w:line="276" w:lineRule="auto"/>
              <w:rPr>
                <w:rFonts w:asciiTheme="minorHAnsi" w:hAnsiTheme="minorHAnsi"/>
                <w:b/>
                <w:sz w:val="22"/>
              </w:rPr>
            </w:pPr>
            <w:r w:rsidRPr="00215B5A">
              <w:rPr>
                <w:rFonts w:asciiTheme="minorHAnsi" w:hAnsiTheme="minorHAnsi"/>
                <w:b/>
                <w:sz w:val="22"/>
              </w:rPr>
              <w:t>Limity požadované VÚ 1997</w:t>
            </w:r>
          </w:p>
        </w:tc>
        <w:tc>
          <w:tcPr>
            <w:tcW w:w="3071" w:type="dxa"/>
            <w:tcBorders>
              <w:top w:val="single" w:sz="12" w:space="0" w:color="auto"/>
              <w:bottom w:val="single" w:sz="12" w:space="0" w:color="auto"/>
              <w:right w:val="single" w:sz="12" w:space="0" w:color="auto"/>
            </w:tcBorders>
            <w:shd w:val="clear" w:color="auto" w:fill="B8CCE4" w:themeFill="accent1" w:themeFillTint="66"/>
            <w:vAlign w:val="center"/>
          </w:tcPr>
          <w:p w:rsidR="00215B5A" w:rsidRPr="00215B5A" w:rsidRDefault="00215B5A" w:rsidP="00215B5A">
            <w:pPr>
              <w:spacing w:line="276" w:lineRule="auto"/>
              <w:rPr>
                <w:rFonts w:asciiTheme="minorHAnsi" w:hAnsiTheme="minorHAnsi"/>
                <w:b/>
                <w:sz w:val="22"/>
              </w:rPr>
            </w:pPr>
            <w:r w:rsidRPr="00215B5A">
              <w:rPr>
                <w:rFonts w:asciiTheme="minorHAnsi" w:hAnsiTheme="minorHAnsi"/>
                <w:b/>
                <w:sz w:val="22"/>
              </w:rPr>
              <w:t>Rozdíl současného stavu ve srovnání</w:t>
            </w:r>
            <w:r>
              <w:rPr>
                <w:rFonts w:asciiTheme="minorHAnsi" w:hAnsiTheme="minorHAnsi"/>
                <w:b/>
                <w:sz w:val="22"/>
              </w:rPr>
              <w:t xml:space="preserve"> </w:t>
            </w:r>
            <w:r w:rsidRPr="00215B5A">
              <w:rPr>
                <w:rFonts w:asciiTheme="minorHAnsi" w:hAnsiTheme="minorHAnsi"/>
                <w:b/>
                <w:sz w:val="22"/>
              </w:rPr>
              <w:t>se stavem požadovaným VÚ 1997</w:t>
            </w:r>
          </w:p>
        </w:tc>
      </w:tr>
      <w:tr w:rsidR="00215B5A" w:rsidRPr="00215B5A" w:rsidTr="00215B5A">
        <w:tc>
          <w:tcPr>
            <w:tcW w:w="3070" w:type="dxa"/>
            <w:tcBorders>
              <w:top w:val="single" w:sz="12" w:space="0" w:color="auto"/>
              <w:left w:val="single" w:sz="12" w:space="0" w:color="auto"/>
              <w:bottom w:val="dotted" w:sz="4" w:space="0" w:color="808080" w:themeColor="background1" w:themeShade="80"/>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8. 000. 000.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272. 953. 700,- SDR</w:t>
            </w:r>
          </w:p>
        </w:tc>
        <w:tc>
          <w:tcPr>
            <w:tcW w:w="3071" w:type="dxa"/>
            <w:tcBorders>
              <w:top w:val="single" w:sz="12" w:space="0" w:color="auto"/>
              <w:bottom w:val="dotted" w:sz="4" w:space="0" w:color="808080" w:themeColor="background1" w:themeShade="80"/>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8. 792. 700.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300. 000. 000,- SDR</w:t>
            </w:r>
          </w:p>
        </w:tc>
        <w:tc>
          <w:tcPr>
            <w:tcW w:w="3071" w:type="dxa"/>
            <w:tcBorders>
              <w:top w:val="single" w:sz="12" w:space="0" w:color="auto"/>
              <w:bottom w:val="dotted" w:sz="4" w:space="0" w:color="808080" w:themeColor="background1" w:themeShade="80"/>
              <w:right w:val="single" w:sz="12" w:space="0" w:color="auto"/>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792</w:t>
            </w:r>
            <w:proofErr w:type="gramEnd"/>
            <w:r w:rsidRPr="00215B5A">
              <w:rPr>
                <w:rFonts w:asciiTheme="minorHAnsi" w:hAnsiTheme="minorHAnsi" w:cs="Arial"/>
                <w:iCs/>
                <w:sz w:val="22"/>
              </w:rPr>
              <w:t>. 700.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27</w:t>
            </w:r>
            <w:proofErr w:type="gramEnd"/>
            <w:r w:rsidRPr="00215B5A">
              <w:rPr>
                <w:rFonts w:asciiTheme="minorHAnsi" w:hAnsiTheme="minorHAnsi" w:cs="Arial"/>
                <w:iCs/>
                <w:sz w:val="22"/>
              </w:rPr>
              <w:t>. 046. 300,- SDR</w:t>
            </w:r>
          </w:p>
        </w:tc>
      </w:tr>
      <w:tr w:rsidR="00215B5A" w:rsidRPr="00215B5A" w:rsidTr="00215B5A">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8. 000. 000. 000,- CZK</w:t>
            </w:r>
          </w:p>
          <w:p w:rsidR="00215B5A" w:rsidRPr="00215B5A" w:rsidRDefault="00215B5A" w:rsidP="00215B5A">
            <w:pPr>
              <w:spacing w:line="276" w:lineRule="auto"/>
              <w:rPr>
                <w:rFonts w:asciiTheme="minorHAnsi" w:hAnsiTheme="minorHAnsi"/>
                <w:sz w:val="22"/>
              </w:rPr>
            </w:pPr>
            <w:r w:rsidRPr="00215B5A">
              <w:rPr>
                <w:rFonts w:asciiTheme="minorHAnsi" w:hAnsiTheme="minorHAnsi" w:cs="Arial"/>
                <w:iCs/>
                <w:sz w:val="22"/>
              </w:rPr>
              <w:t xml:space="preserve">    272. 953. 700,- SDR</w:t>
            </w:r>
          </w:p>
        </w:tc>
        <w:tc>
          <w:tcPr>
            <w:tcW w:w="3071" w:type="dxa"/>
            <w:tcBorders>
              <w:top w:val="dotted" w:sz="4" w:space="0" w:color="808080" w:themeColor="background1" w:themeShade="80"/>
              <w:bottom w:val="dotted" w:sz="4" w:space="0" w:color="808080" w:themeColor="background1" w:themeShade="80"/>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4. 396. 350. 000,- CZK    (x 2)</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150. 000. 000,- SDR (x 2)</w:t>
            </w:r>
          </w:p>
        </w:tc>
        <w:tc>
          <w:tcPr>
            <w:tcW w:w="3071" w:type="dxa"/>
            <w:tcBorders>
              <w:top w:val="dotted" w:sz="4" w:space="0" w:color="808080" w:themeColor="background1" w:themeShade="80"/>
              <w:bottom w:val="dotted" w:sz="4" w:space="0" w:color="808080" w:themeColor="background1" w:themeShade="80"/>
              <w:right w:val="single" w:sz="12" w:space="0" w:color="auto"/>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792</w:t>
            </w:r>
            <w:proofErr w:type="gramEnd"/>
            <w:r w:rsidRPr="00215B5A">
              <w:rPr>
                <w:rFonts w:asciiTheme="minorHAnsi" w:hAnsiTheme="minorHAnsi" w:cs="Arial"/>
                <w:iCs/>
                <w:sz w:val="22"/>
              </w:rPr>
              <w:t>. 700.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27</w:t>
            </w:r>
            <w:proofErr w:type="gramEnd"/>
            <w:r w:rsidRPr="00215B5A">
              <w:rPr>
                <w:rFonts w:asciiTheme="minorHAnsi" w:hAnsiTheme="minorHAnsi" w:cs="Arial"/>
                <w:iCs/>
                <w:sz w:val="22"/>
              </w:rPr>
              <w:t>. 046. 300,- SDR</w:t>
            </w:r>
          </w:p>
        </w:tc>
      </w:tr>
      <w:tr w:rsidR="00215B5A" w:rsidRPr="00215B5A" w:rsidTr="00215B5A">
        <w:tc>
          <w:tcPr>
            <w:tcW w:w="3070" w:type="dxa"/>
            <w:tcBorders>
              <w:top w:val="dotted" w:sz="4" w:space="0" w:color="808080" w:themeColor="background1" w:themeShade="80"/>
              <w:left w:val="single" w:sz="12" w:space="0" w:color="auto"/>
              <w:bottom w:val="thinThickSmallGap" w:sz="24" w:space="0" w:color="auto"/>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8. 000. 000.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272. 953. 700,- SDR</w:t>
            </w:r>
          </w:p>
        </w:tc>
        <w:tc>
          <w:tcPr>
            <w:tcW w:w="3071" w:type="dxa"/>
            <w:tcBorders>
              <w:top w:val="dotted" w:sz="4" w:space="0" w:color="808080" w:themeColor="background1" w:themeShade="80"/>
              <w:bottom w:val="thinThickSmallGap" w:sz="24" w:space="0" w:color="auto"/>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2. 930. 900. 000,- CZK     </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100. 000. 000,- SDR </w:t>
            </w:r>
          </w:p>
        </w:tc>
        <w:tc>
          <w:tcPr>
            <w:tcW w:w="3071" w:type="dxa"/>
            <w:tcBorders>
              <w:top w:val="dotted" w:sz="4" w:space="0" w:color="808080" w:themeColor="background1" w:themeShade="80"/>
              <w:bottom w:val="thinThickSmallGap" w:sz="24" w:space="0" w:color="auto"/>
              <w:right w:val="single" w:sz="12" w:space="0" w:color="auto"/>
            </w:tcBorders>
          </w:tcPr>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5. 069</w:t>
            </w:r>
            <w:proofErr w:type="gramEnd"/>
            <w:r w:rsidRPr="00215B5A">
              <w:rPr>
                <w:rFonts w:asciiTheme="minorHAnsi" w:hAnsiTheme="minorHAnsi" w:cs="Arial"/>
                <w:iCs/>
                <w:sz w:val="22"/>
              </w:rPr>
              <w:t>. 100. 000,- CZK</w:t>
            </w:r>
          </w:p>
          <w:p w:rsidR="00215B5A" w:rsidRPr="00215B5A" w:rsidRDefault="00215B5A" w:rsidP="00215B5A">
            <w:pPr>
              <w:spacing w:line="276" w:lineRule="auto"/>
              <w:ind w:right="23"/>
              <w:jc w:val="both"/>
              <w:rPr>
                <w:rFonts w:asciiTheme="minorHAnsi" w:hAnsiTheme="minorHAnsi" w:cs="Arial"/>
                <w:iCs/>
                <w:sz w:val="22"/>
              </w:rPr>
            </w:pPr>
            <w:r w:rsidRPr="00215B5A">
              <w:rPr>
                <w:rFonts w:asciiTheme="minorHAnsi" w:hAnsiTheme="minorHAnsi" w:cs="Arial"/>
                <w:iCs/>
                <w:sz w:val="22"/>
              </w:rPr>
              <w:t xml:space="preserve"> </w:t>
            </w:r>
            <w:proofErr w:type="gramStart"/>
            <w:r w:rsidRPr="00215B5A">
              <w:rPr>
                <w:rFonts w:asciiTheme="minorHAnsi" w:hAnsiTheme="minorHAnsi" w:cs="Arial"/>
                <w:iCs/>
                <w:sz w:val="22"/>
              </w:rPr>
              <w:t>(+)  172</w:t>
            </w:r>
            <w:proofErr w:type="gramEnd"/>
            <w:r w:rsidRPr="00215B5A">
              <w:rPr>
                <w:rFonts w:asciiTheme="minorHAnsi" w:hAnsiTheme="minorHAnsi" w:cs="Arial"/>
                <w:iCs/>
                <w:sz w:val="22"/>
              </w:rPr>
              <w:t>. 953. 700,- SDR</w:t>
            </w:r>
          </w:p>
        </w:tc>
      </w:tr>
    </w:tbl>
    <w:p w:rsidR="004C76FD" w:rsidRPr="004C76FD" w:rsidRDefault="004C76FD" w:rsidP="004C76FD"/>
    <w:p w:rsidR="00DB6DBA" w:rsidRDefault="00DB6DBA" w:rsidP="00DB6DBA">
      <w:pPr>
        <w:spacing w:before="200" w:after="120"/>
        <w:jc w:val="both"/>
      </w:pPr>
      <w:r w:rsidRPr="00574B71">
        <w:rPr>
          <w:iCs/>
        </w:rPr>
        <w:t>Tři výše uvedené oblasti právní úpravy (navýšení minimálních limitů, rozšíření rozsahu škod a</w:t>
      </w:r>
      <w:r w:rsidR="007B63DF">
        <w:rPr>
          <w:iCs/>
        </w:rPr>
        <w:t> </w:t>
      </w:r>
      <w:r w:rsidRPr="00574B71">
        <w:rPr>
          <w:iCs/>
        </w:rPr>
        <w:t>prodloužení objektivní lhůty k uplatnění nároku na náhradu) jsou považovány za klíčové, co se týče posilování mezinárodního režimu odpovědnosti v „post</w:t>
      </w:r>
      <w:r w:rsidR="006356DE">
        <w:rPr>
          <w:iCs/>
        </w:rPr>
        <w:t>-</w:t>
      </w:r>
      <w:r w:rsidRPr="00574B71">
        <w:rPr>
          <w:iCs/>
        </w:rPr>
        <w:t>černobylském“ období.</w:t>
      </w:r>
      <w:r w:rsidRPr="00AC4940">
        <w:t xml:space="preserve"> Tyto progresivní aspekty jsou ovšem do značné míry limitované skutečností, že VÚ 1997 byl doposud ratifikován jenom šesti (Argentina, Bělorusko, Lotyšsko, Maroko, Polsko a Rumunsko) z původních patnácti signatářských států (</w:t>
      </w:r>
      <w:r w:rsidRPr="00574B71">
        <w:rPr>
          <w:iCs/>
        </w:rPr>
        <w:t>kromě České republiky se jedná o Filipíny, Indonésii, Libanon, Litvu, Maďarsko, Peru a Ukrajinu). Protokol nabyl platnosti v r. 2003, poté, co byl ratifikován pátým smluvním státem. Po nabytí platnosti Protokolu k němu může přistoupit kterýkoliv další stát a to bez toho, aby musel nejprve ratifikovat původní znění Vídeňské úmluvy z r. 1963.</w:t>
      </w:r>
      <w:r>
        <w:rPr>
          <w:iCs/>
        </w:rPr>
        <w:t xml:space="preserve"> V posledním období tak učinila celá řada států širšího středo- a východoevropského prostoru (Bosna a Hercegovina, Černá hora atd.) </w:t>
      </w:r>
      <w:r w:rsidRPr="00AC4940">
        <w:rPr>
          <w:iCs/>
        </w:rPr>
        <w:t xml:space="preserve">V současnosti tedy vedle sebe existují dva Vídeňské odpovědnostní systémy: </w:t>
      </w:r>
      <w:r w:rsidRPr="00AC4940">
        <w:rPr>
          <w:i/>
          <w:iCs/>
        </w:rPr>
        <w:t>původní,</w:t>
      </w:r>
      <w:r w:rsidRPr="00AC4940">
        <w:rPr>
          <w:iCs/>
        </w:rPr>
        <w:t xml:space="preserve"> který se řídí VÚ 1963 a ke kterému náleží vedle České republiky i celá </w:t>
      </w:r>
      <w:r w:rsidR="006356DE">
        <w:rPr>
          <w:iCs/>
        </w:rPr>
        <w:t xml:space="preserve">řada </w:t>
      </w:r>
      <w:r w:rsidRPr="00AC4940">
        <w:rPr>
          <w:iCs/>
        </w:rPr>
        <w:t>států střední a východní Evropy, Asie a</w:t>
      </w:r>
      <w:r w:rsidR="007B63DF">
        <w:rPr>
          <w:iCs/>
        </w:rPr>
        <w:t> </w:t>
      </w:r>
      <w:r w:rsidRPr="00AC4940">
        <w:rPr>
          <w:iCs/>
        </w:rPr>
        <w:t xml:space="preserve">Ameriky a </w:t>
      </w:r>
      <w:r w:rsidRPr="00AC4940">
        <w:rPr>
          <w:i/>
          <w:iCs/>
        </w:rPr>
        <w:t>revidovaný</w:t>
      </w:r>
      <w:r w:rsidRPr="00AC4940">
        <w:rPr>
          <w:iCs/>
        </w:rPr>
        <w:t xml:space="preserve">, který se řídí VÚ 1997. K revidovanému systému doposud patří jenom dva státy, které na svém území provozují jaderná zařízení (Argentina a Rumunsko). </w:t>
      </w:r>
      <w:r w:rsidRPr="00AC4940">
        <w:t xml:space="preserve">Ratifikace </w:t>
      </w:r>
      <w:r>
        <w:t>VÚ</w:t>
      </w:r>
      <w:r w:rsidRPr="00AC4940">
        <w:t xml:space="preserve"> 1997 </w:t>
      </w:r>
      <w:r>
        <w:t>ze strany České republiky</w:t>
      </w:r>
      <w:r w:rsidRPr="00AC4940">
        <w:t>, která je významným evropským „jaderným“ státem, by měla nepochybně za následek posílení významu revidovaného Vídeňského odpovědnostního systému v širším středoevropském prostoru. Toto konstatování vychází ze skutečnosti, že v několika státech středoevropského prostoru je již VÚ 1997 platný (Černá hora, Rumunsko, Polsko, Lotyšsko) a jiné jsou signatářem této mezinárodní úmluvy (Maďarsko, Litva) a příklad Česka by mohl vést k její ratifikaci i</w:t>
      </w:r>
      <w:r w:rsidR="007B63DF">
        <w:t> </w:t>
      </w:r>
      <w:r w:rsidRPr="00AC4940">
        <w:t>v těchto ze</w:t>
      </w:r>
      <w:r>
        <w:t xml:space="preserve">mích. Ratifikace VÚ </w:t>
      </w:r>
      <w:r w:rsidRPr="00AC4940">
        <w:t xml:space="preserve">1997 by zároveň posílila legitimitu českého jaderného programu jak vůči vlastnímu obyvatelstvu, tak i navenek vůči třetím zemím, protože by znamenala výrazné posílení standardů odpovědnosti a kompenzace pro případ škodové události. </w:t>
      </w:r>
    </w:p>
    <w:p w:rsidR="00DB6DBA" w:rsidRPr="00ED1EB6" w:rsidRDefault="00DB6DBA" w:rsidP="00DB6DBA">
      <w:pPr>
        <w:spacing w:after="120"/>
        <w:jc w:val="both"/>
      </w:pPr>
      <w:r>
        <w:t xml:space="preserve">Česká republika je vedle VÚ 1997 současně signatářským státem další mezinárodní úmluvy, kterou je ÚDK 1997. ÚDK 1997 je </w:t>
      </w:r>
      <w:r w:rsidRPr="00AC4940">
        <w:rPr>
          <w:iCs/>
        </w:rPr>
        <w:t xml:space="preserve">koncipována jako samostatný instrument mezinárodního práva, přičemž podmínkou pro podepsání, resp. pro přistoupení k této úmluvě není, aby byl smluvní stát smluvní stranou jedné z existujících odpovědnostních </w:t>
      </w:r>
      <w:r w:rsidRPr="00ED1EB6">
        <w:rPr>
          <w:iCs/>
        </w:rPr>
        <w:t>úmluv. Předpokladem pro přistoupení k ÚDK 1997 ovšem je, aby stát byl smluvním státem Úmluvy o jaderné bezpečnosti z r. 1994.</w:t>
      </w:r>
      <w:r w:rsidRPr="00ED1EB6">
        <w:t xml:space="preserve"> Cílem ÚDK 1997 je vytvořit právní rámec pro kompenzaci za škody, který by byl aplikovatelný jak ve smluvních státech Pařížského a Vídeňského odpovědnostního systému,</w:t>
      </w:r>
      <w:r w:rsidRPr="00AC4940">
        <w:t xml:space="preserve"> tak i ve státech, které nejsou jejich součástí, ale které ve svém národním právním řádu zakotvil</w:t>
      </w:r>
      <w:r>
        <w:t>y</w:t>
      </w:r>
      <w:r w:rsidRPr="00AC4940">
        <w:t xml:space="preserve"> identické odpovědnostní zásady (tj. výlučnou a</w:t>
      </w:r>
      <w:r w:rsidR="007B63DF">
        <w:t> </w:t>
      </w:r>
      <w:r w:rsidRPr="00AC4940">
        <w:t xml:space="preserve">objektivní odpovědnost provozovatele, stanovení minimálního limitu odpovědnosti, povinné </w:t>
      </w:r>
      <w:r w:rsidRPr="00AC4940">
        <w:lastRenderedPageBreak/>
        <w:t>pojištění, objektivní a subjektivní lhůtu pro uplatnění nároku atd</w:t>
      </w:r>
      <w:r w:rsidRPr="00ED1EB6">
        <w:t>.). Ambicí ÚDK 1997 je tedy vytvořit globální (celosvětový) režim odpovědnosti za jaderné škody, na kterém by mohly participovat i ty státy, které nejsou smluvní stranou žádné z doposud existujících mezinárodních úmluv (to je v současnosti případ řady významných „jaderných“ států, např. Japonska, Číny, Kanady, Jihoafrické republiky, Indie).</w:t>
      </w:r>
    </w:p>
    <w:p w:rsidR="00DB6DBA" w:rsidRPr="00ED1EB6" w:rsidRDefault="00DB6DBA" w:rsidP="00DB6DBA">
      <w:pPr>
        <w:spacing w:after="120"/>
        <w:jc w:val="both"/>
      </w:pPr>
      <w:r w:rsidRPr="00ED1EB6">
        <w:t>Jednotlivá ustanovení ÚDK 1997 jsou v zásadě kompatibilní s právní úpravou v existujících odpovědnostních úmluvách, tj. předpokladem je zakotvení základních principů jaderné odpovědnosti ve vnitrostátním právním řádu. V případě, že by smluvní strana jedné z těchto smluv chtěla přistoupit, resp. ratifikovat ÚDK 1997, nemusela by ve svém národním řádu měnit již existující systém jaderné odpovědnosti. To je relevantní i pro Českou republiku. Bude ovšem muset transponovat ustanovení ÚDK 1997 o veřejných fondech a rozhodnout, z jakých zdrojů budou tyto veřejné fondy v případě potřeby vytvořeny.</w:t>
      </w:r>
    </w:p>
    <w:p w:rsidR="00DB6DBA" w:rsidRDefault="00DB6DBA" w:rsidP="00DB6DBA">
      <w:pPr>
        <w:spacing w:after="120"/>
        <w:ind w:right="23"/>
        <w:jc w:val="both"/>
      </w:pPr>
      <w:r w:rsidRPr="00ED1EB6">
        <w:t>ÚDK 1997 zakotvuje kompenzační mechanismus, stojící na třech stupních. Prostředky</w:t>
      </w:r>
      <w:r w:rsidRPr="00AC4940">
        <w:t>, pocházející z prvního a druhého stupně kompenzace mají být dle ÚDK 1997 rozděleny bez diskriminace z důvodu státní příslušnosti, resp. místa pobytu. Jednotlivé</w:t>
      </w:r>
      <w:r>
        <w:t xml:space="preserve"> stupně kompenzace jsou v </w:t>
      </w:r>
      <w:r w:rsidR="000500D4">
        <w:t>Ú</w:t>
      </w:r>
      <w:r>
        <w:t>DK 1997</w:t>
      </w:r>
      <w:r w:rsidRPr="00AC4940">
        <w:t xml:space="preserve"> upraveny následovně:</w:t>
      </w:r>
    </w:p>
    <w:p w:rsidR="00DB6DBA" w:rsidRPr="00ED1EB6" w:rsidRDefault="00DB6DBA" w:rsidP="0044189F">
      <w:pPr>
        <w:pStyle w:val="Odstavecseseznamem"/>
        <w:numPr>
          <w:ilvl w:val="0"/>
          <w:numId w:val="47"/>
        </w:numPr>
        <w:spacing w:after="0"/>
        <w:ind w:right="23"/>
        <w:jc w:val="both"/>
      </w:pPr>
      <w:r>
        <w:t>p</w:t>
      </w:r>
      <w:r w:rsidRPr="00AC4940">
        <w:t>rvní stupeň představuje objem finančních prostředků ve výši 300 milionů SDR, který koresponduje s minimálním lim</w:t>
      </w:r>
      <w:r>
        <w:t xml:space="preserve">item odpovědnosti, </w:t>
      </w:r>
      <w:r w:rsidRPr="00ED1EB6">
        <w:t>zakotveným ve V</w:t>
      </w:r>
      <w:r w:rsidR="000500D4">
        <w:t>Ú</w:t>
      </w:r>
      <w:r w:rsidRPr="00ED1EB6">
        <w:t xml:space="preserve"> 1997. ÚDK 1997 přitom výslovně nestanovuje, jakým způsobem má být existence tohoto objemu finančních prostředků zajištěna. Může se tak stát stanovením limitu provozovatele v odpovídající výši, případně stanovením limitu odpovědnosti provozovatele v kombinaci s vytvořením veřejného fond</w:t>
      </w:r>
      <w:r w:rsidR="000500D4">
        <w:t>u</w:t>
      </w:r>
      <w:r w:rsidRPr="00ED1EB6">
        <w:t xml:space="preserve"> (srov. výše); lze tedy konstatovat, že transpozice požadavků stanovených ve V</w:t>
      </w:r>
      <w:r w:rsidR="000500D4">
        <w:t>Ú</w:t>
      </w:r>
      <w:r w:rsidRPr="00ED1EB6">
        <w:t xml:space="preserve"> 1997 je předpokladem pro přistoupení, resp. ratifikaci </w:t>
      </w:r>
      <w:r w:rsidR="000500D4">
        <w:t>Ú</w:t>
      </w:r>
      <w:r w:rsidRPr="00ED1EB6">
        <w:t>DK 1997 (přičemž požadavky obou mezinárodních úmluv mohou být do vnitrostátní legislativy transponovány současně),</w:t>
      </w:r>
    </w:p>
    <w:p w:rsidR="00DB6DBA" w:rsidRPr="00ED1EB6" w:rsidRDefault="00DB6DBA" w:rsidP="0044189F">
      <w:pPr>
        <w:pStyle w:val="Odstavecseseznamem"/>
        <w:numPr>
          <w:ilvl w:val="0"/>
          <w:numId w:val="47"/>
        </w:numPr>
        <w:spacing w:after="0"/>
        <w:ind w:right="23"/>
        <w:jc w:val="both"/>
      </w:pPr>
      <w:r>
        <w:t>d</w:t>
      </w:r>
      <w:r w:rsidRPr="00AC4940">
        <w:t>ruhý stupeň kompenzace má charakter veřejných fondů, do kterých smluvní strany při</w:t>
      </w:r>
      <w:r>
        <w:t>s</w:t>
      </w:r>
      <w:r w:rsidRPr="00AC4940">
        <w:t>pívají finanční</w:t>
      </w:r>
      <w:r w:rsidR="000500D4">
        <w:t>mi</w:t>
      </w:r>
      <w:r w:rsidRPr="00AC4940">
        <w:t xml:space="preserve"> prostředky podle </w:t>
      </w:r>
      <w:r>
        <w:t>vzor</w:t>
      </w:r>
      <w:r w:rsidRPr="00AC4940">
        <w:t>c</w:t>
      </w:r>
      <w:r>
        <w:t>e, vytvořeného dvěma proměnnými (první</w:t>
      </w:r>
      <w:r w:rsidRPr="00AC4940">
        <w:t xml:space="preserve"> proměnná se odvíjí od instalované kapacity jaderných elektráren, zatímco druhá od hodnoty stanove</w:t>
      </w:r>
      <w:r>
        <w:t>né Organizací spojených národů</w:t>
      </w:r>
      <w:r w:rsidRPr="004270E6">
        <w:rPr>
          <w:iCs/>
        </w:rPr>
        <w:t>). Při aplikaci uvedeného vzorce přispívají „jaderné“ státy do veřejných fondů druhého stupně celkově 90 procenty.</w:t>
      </w:r>
      <w:r w:rsidRPr="004270E6">
        <w:rPr>
          <w:i/>
          <w:iCs/>
        </w:rPr>
        <w:t xml:space="preserve"> </w:t>
      </w:r>
      <w:r w:rsidRPr="004270E6">
        <w:rPr>
          <w:iCs/>
        </w:rPr>
        <w:t>ÚDK 1997 současně zakotvuje maximální hranici příspěvku od každé ze smluvních stran</w:t>
      </w:r>
      <w:r w:rsidR="000500D4">
        <w:rPr>
          <w:iCs/>
        </w:rPr>
        <w:t>,</w:t>
      </w:r>
      <w:r w:rsidRPr="004270E6">
        <w:rPr>
          <w:iCs/>
        </w:rPr>
        <w:t xml:space="preserve"> a to s jasným úmyslem minimalizovat obavy potenciálních smluvních stran z finančně vyčerpávajících příspěvků do kompenzačního systému. Objem těchto prostředků je vždy závislý na počtu smluvních stran ÚDK 1997 v okamžiku, kdy ke škodové události dojde. D</w:t>
      </w:r>
      <w:r w:rsidRPr="00AC4940">
        <w:t>ruhý stupeň kompenzace má být vytvořen v objemu, který je závislý na počtu smluvních států. ÚDK 1997 přitom neobsahuje požadavek, aby byly fondy vytvořeny průběžně, resp. ještě před okamžikem, co škodová událost nastane. Úmluva toliko stanovuje, že 50 procent finančních prostředků, vytvořených v rámci druhého stupně, má být použitých za účelem kompenzace škod, které vznikly mimo území smluvní strany, na území</w:t>
      </w:r>
      <w:r w:rsidR="000500D4">
        <w:t>, na kterém</w:t>
      </w:r>
      <w:r w:rsidRPr="00AC4940">
        <w:t xml:space="preserve"> došlo k události. </w:t>
      </w:r>
      <w:r w:rsidRPr="004270E6">
        <w:rPr>
          <w:i/>
        </w:rPr>
        <w:t xml:space="preserve">Ratio </w:t>
      </w:r>
      <w:r w:rsidRPr="00AC4940">
        <w:t xml:space="preserve">této úpravy spočívá v předpokladu, že kompenzace škod vzniklých na území státu, kde k události došlo, má být zabezpečena primárně tímto státem, tj. veřejnou mocí, která zařízení povolila a která vykonávala dozor. Veřejné fondy </w:t>
      </w:r>
      <w:r w:rsidRPr="00ED1EB6">
        <w:t xml:space="preserve">vytvořené v rámci druhého stupně mají sloužit primárně ke kompenzaci škody mimo území tohoto státu (Mezinárodní agentura pro atomovou energii vytvořila internetový kalkulační portál, pomocí kterého je možné vypočíst příspěvky jednotlivých (i potenciálních) smluvních stran do veřejných fondů druhého stupně. Ten je </w:t>
      </w:r>
      <w:r w:rsidRPr="00ED1EB6">
        <w:lastRenderedPageBreak/>
        <w:t xml:space="preserve">k nahlédnutí zde: </w:t>
      </w:r>
      <w:hyperlink r:id="rId15" w:history="1">
        <w:r w:rsidRPr="00ED1EB6">
          <w:rPr>
            <w:rStyle w:val="Hypertextovodkaz"/>
            <w:color w:val="auto"/>
          </w:rPr>
          <w:t>http://ola.iaea.org/ola/CSCND/Calculate.asp</w:t>
        </w:r>
      </w:hyperlink>
      <w:r w:rsidRPr="00ED1EB6">
        <w:t>); Tabulka 2 a 3 znázorňují celkový objem finančních prostředků, vytvořených v rámci „druhého stupně“ UDK 1997 ve dvou variantách (v obou se zapojením České republiky), vč. příspěvku, který by Česká republika měla v obou variantách v rámci „druhého stupně“ poskytnout,</w:t>
      </w:r>
    </w:p>
    <w:p w:rsidR="00DB6DBA" w:rsidRPr="004270E6" w:rsidRDefault="00DB6DBA" w:rsidP="0044189F">
      <w:pPr>
        <w:pStyle w:val="Odstavecseseznamem"/>
        <w:numPr>
          <w:ilvl w:val="0"/>
          <w:numId w:val="47"/>
        </w:numPr>
        <w:spacing w:after="120"/>
        <w:ind w:right="23"/>
        <w:contextualSpacing w:val="0"/>
        <w:jc w:val="both"/>
        <w:rPr>
          <w:color w:val="0070C0"/>
        </w:rPr>
      </w:pPr>
      <w:r w:rsidRPr="00AC4940">
        <w:t>ÚDK 1997 dále garantuje právo smluvní strany vytvořit třetí stupeň kompenzace z veřejných fondů. Tento stupeň je fakultativní. Úmluva neobsahuje pravidla ohledně distribuce finančních prostředků z tohoto kompenzačního stupně, zakazuje ovšem diskriminaci poškozených z „nejaderných“ států při kompenzaci z tohoto stupně z důvodu absence reciprocity.</w:t>
      </w:r>
    </w:p>
    <w:p w:rsidR="00DB6DBA" w:rsidRPr="00ED1EB6" w:rsidRDefault="00DB6DBA" w:rsidP="00DB6DBA">
      <w:pPr>
        <w:spacing w:after="120"/>
        <w:ind w:right="23"/>
        <w:jc w:val="both"/>
        <w:rPr>
          <w:rFonts w:cs="Times New Roman"/>
        </w:rPr>
      </w:pPr>
      <w:r>
        <w:rPr>
          <w:rFonts w:cs="Times New Roman"/>
        </w:rPr>
        <w:t xml:space="preserve">Zatímco VÚ 1997 je již platnou mezinárodní úmluvou, </w:t>
      </w:r>
      <w:r w:rsidR="000500D4">
        <w:rPr>
          <w:rFonts w:cs="Times New Roman"/>
        </w:rPr>
        <w:t>Ú</w:t>
      </w:r>
      <w:r>
        <w:rPr>
          <w:rFonts w:cs="Times New Roman"/>
        </w:rPr>
        <w:t>DK</w:t>
      </w:r>
      <w:r w:rsidRPr="0010179A">
        <w:rPr>
          <w:rFonts w:cs="Times New Roman"/>
        </w:rPr>
        <w:t xml:space="preserve"> </w:t>
      </w:r>
      <w:r>
        <w:rPr>
          <w:rFonts w:cs="Times New Roman"/>
        </w:rPr>
        <w:t xml:space="preserve">1997 </w:t>
      </w:r>
      <w:r w:rsidRPr="0010179A">
        <w:rPr>
          <w:rFonts w:cs="Times New Roman"/>
        </w:rPr>
        <w:t xml:space="preserve">má nabýt </w:t>
      </w:r>
      <w:r>
        <w:rPr>
          <w:rFonts w:cs="Times New Roman"/>
        </w:rPr>
        <w:t>platnosti</w:t>
      </w:r>
      <w:r w:rsidRPr="0010179A">
        <w:rPr>
          <w:rFonts w:cs="Times New Roman"/>
        </w:rPr>
        <w:t xml:space="preserve"> 19 dní poté, co ratifikační listiny předloží depozitáři </w:t>
      </w:r>
      <w:r w:rsidRPr="0010179A">
        <w:rPr>
          <w:rFonts w:cs="Times New Roman"/>
          <w:i/>
        </w:rPr>
        <w:t>nejméně</w:t>
      </w:r>
      <w:r w:rsidRPr="0010179A">
        <w:rPr>
          <w:rFonts w:cs="Times New Roman"/>
        </w:rPr>
        <w:t xml:space="preserve"> pět států, které budou disponovat </w:t>
      </w:r>
      <w:r w:rsidRPr="0010179A">
        <w:rPr>
          <w:rFonts w:cs="Times New Roman"/>
          <w:i/>
        </w:rPr>
        <w:t>minimálně</w:t>
      </w:r>
      <w:r w:rsidRPr="0010179A">
        <w:rPr>
          <w:rFonts w:cs="Times New Roman"/>
        </w:rPr>
        <w:t xml:space="preserve"> 400 000 jednotkami instalované kapacity jaderných elektráren. </w:t>
      </w:r>
      <w:r w:rsidRPr="0010179A">
        <w:rPr>
          <w:rFonts w:cs="Times New Roman"/>
          <w:iCs/>
        </w:rPr>
        <w:t xml:space="preserve">Až do r. 2008 byla mapa států, které </w:t>
      </w:r>
      <w:r w:rsidR="000500D4">
        <w:t>Ú</w:t>
      </w:r>
      <w:r>
        <w:rPr>
          <w:rFonts w:cs="Times New Roman"/>
          <w:iCs/>
        </w:rPr>
        <w:t>DK 1997</w:t>
      </w:r>
      <w:r w:rsidRPr="0010179A">
        <w:rPr>
          <w:rFonts w:cs="Times New Roman"/>
          <w:iCs/>
        </w:rPr>
        <w:t xml:space="preserve"> ratifikovaly, v zásadě velice pesimistická. Jednalo se jenom o Argentinu, Maroko a Rumunsko. Státy s největšími kapacitami v jaderné energetice (Francie, Japonsko, Kanada, Ruská federace, Španělsko, Švédsko, Ukrajina, Spojené státy americké a Velká Británie) stály úplně mimo režim, vytvořený </w:t>
      </w:r>
      <w:r>
        <w:rPr>
          <w:rFonts w:cs="Times New Roman"/>
          <w:iCs/>
        </w:rPr>
        <w:t>ÚDK 1997</w:t>
      </w:r>
      <w:r w:rsidRPr="0010179A">
        <w:rPr>
          <w:rFonts w:cs="Times New Roman"/>
          <w:iCs/>
        </w:rPr>
        <w:t xml:space="preserve">. Milníkem byla bezpochyby ratifikace </w:t>
      </w:r>
      <w:r>
        <w:rPr>
          <w:rFonts w:cs="Times New Roman"/>
          <w:iCs/>
        </w:rPr>
        <w:t>ÚDK 1997</w:t>
      </w:r>
      <w:r w:rsidRPr="0010179A">
        <w:rPr>
          <w:rFonts w:cs="Times New Roman"/>
          <w:iCs/>
        </w:rPr>
        <w:t xml:space="preserve"> ze strany USA v</w:t>
      </w:r>
      <w:r>
        <w:rPr>
          <w:rFonts w:cs="Times New Roman"/>
          <w:iCs/>
        </w:rPr>
        <w:t xml:space="preserve"> r. 2008. Od tohoto okamžiku se signatářskými státy ÚDK stalo několik významných </w:t>
      </w:r>
      <w:r w:rsidRPr="00ED1EB6">
        <w:rPr>
          <w:rFonts w:cs="Times New Roman"/>
          <w:iCs/>
        </w:rPr>
        <w:t xml:space="preserve">„jaderných“ i „nejaderných“ států celého světa: jedná se o Indii (2010), Kanadu (2013) a Spojené arabské emiráty (2014). </w:t>
      </w:r>
      <w:r w:rsidRPr="00ED1EB6">
        <w:rPr>
          <w:rFonts w:cs="Times New Roman"/>
        </w:rPr>
        <w:t>V pokročilém stadiu je v současnosti přijetí dvou právních norem, které v budoucnu umožní přistoupení k </w:t>
      </w:r>
      <w:r w:rsidR="00F27BF3">
        <w:t>Ú</w:t>
      </w:r>
      <w:r w:rsidRPr="00ED1EB6">
        <w:rPr>
          <w:rFonts w:cs="Times New Roman"/>
        </w:rPr>
        <w:t xml:space="preserve">DK 1997 je v současnosti Japonsko. Lze tedy předpokládat, že v průběhu následujícího období se </w:t>
      </w:r>
      <w:r w:rsidR="00F27BF3">
        <w:t>Ú</w:t>
      </w:r>
      <w:r w:rsidRPr="00ED1EB6">
        <w:rPr>
          <w:rFonts w:cs="Times New Roman"/>
        </w:rPr>
        <w:t xml:space="preserve">DK 1997 stane (po ratifikace Kanadou, resp. Japonskem) platnou mezinárodní úmluvou. </w:t>
      </w:r>
    </w:p>
    <w:p w:rsidR="00C223D0" w:rsidRDefault="00C223D0" w:rsidP="00C223D0">
      <w:pPr>
        <w:pStyle w:val="Titulek"/>
        <w:keepNext/>
        <w:rPr>
          <w:rFonts w:cs="Times New Roman"/>
          <w:b w:val="0"/>
          <w:bCs w:val="0"/>
          <w:i/>
          <w:color w:val="auto"/>
          <w:sz w:val="22"/>
          <w:szCs w:val="22"/>
        </w:rPr>
      </w:pPr>
      <w:bookmarkStart w:id="126" w:name="_Toc420058312"/>
      <w:r w:rsidRPr="00C223D0">
        <w:rPr>
          <w:rFonts w:cs="Times New Roman"/>
          <w:bCs w:val="0"/>
          <w:color w:val="auto"/>
          <w:sz w:val="22"/>
          <w:szCs w:val="22"/>
        </w:rPr>
        <w:t xml:space="preserve">Tabulka č. </w:t>
      </w:r>
      <w:r w:rsidRPr="00C223D0">
        <w:rPr>
          <w:rFonts w:cs="Times New Roman"/>
          <w:bCs w:val="0"/>
          <w:color w:val="auto"/>
          <w:sz w:val="22"/>
          <w:szCs w:val="22"/>
        </w:rPr>
        <w:fldChar w:fldCharType="begin"/>
      </w:r>
      <w:r w:rsidRPr="00C223D0">
        <w:rPr>
          <w:rFonts w:cs="Times New Roman"/>
          <w:bCs w:val="0"/>
          <w:color w:val="auto"/>
          <w:sz w:val="22"/>
          <w:szCs w:val="22"/>
        </w:rPr>
        <w:instrText xml:space="preserve"> SEQ Tabulka_č. \* ARABIC </w:instrText>
      </w:r>
      <w:r w:rsidRPr="00C223D0">
        <w:rPr>
          <w:rFonts w:cs="Times New Roman"/>
          <w:bCs w:val="0"/>
          <w:color w:val="auto"/>
          <w:sz w:val="22"/>
          <w:szCs w:val="22"/>
        </w:rPr>
        <w:fldChar w:fldCharType="separate"/>
      </w:r>
      <w:r w:rsidR="00FE1E1A">
        <w:rPr>
          <w:rFonts w:cs="Times New Roman"/>
          <w:bCs w:val="0"/>
          <w:noProof/>
          <w:color w:val="auto"/>
          <w:sz w:val="22"/>
          <w:szCs w:val="22"/>
        </w:rPr>
        <w:t>8</w:t>
      </w:r>
      <w:r w:rsidRPr="00C223D0">
        <w:rPr>
          <w:rFonts w:cs="Times New Roman"/>
          <w:bCs w:val="0"/>
          <w:color w:val="auto"/>
          <w:sz w:val="22"/>
          <w:szCs w:val="22"/>
        </w:rPr>
        <w:fldChar w:fldCharType="end"/>
      </w:r>
      <w:r w:rsidRPr="00C223D0">
        <w:rPr>
          <w:rFonts w:cs="Times New Roman"/>
          <w:bCs w:val="0"/>
          <w:color w:val="auto"/>
          <w:sz w:val="22"/>
          <w:szCs w:val="22"/>
        </w:rPr>
        <w:t xml:space="preserve">: </w:t>
      </w:r>
      <w:r w:rsidRPr="00C223D0">
        <w:rPr>
          <w:rFonts w:cs="Times New Roman"/>
          <w:b w:val="0"/>
          <w:bCs w:val="0"/>
          <w:i/>
          <w:color w:val="auto"/>
          <w:sz w:val="22"/>
          <w:szCs w:val="22"/>
        </w:rPr>
        <w:t>Příspěvky do druhého pilíře v případě participace současných smluvních států + Japonska a České republiky</w:t>
      </w:r>
      <w:bookmarkEnd w:id="126"/>
    </w:p>
    <w:tbl>
      <w:tblPr>
        <w:tblStyle w:val="Mkatabulky"/>
        <w:tblW w:w="0" w:type="auto"/>
        <w:tblLook w:val="04A0" w:firstRow="1" w:lastRow="0" w:firstColumn="1" w:lastColumn="0" w:noHBand="0" w:noVBand="1"/>
      </w:tblPr>
      <w:tblGrid>
        <w:gridCol w:w="3070"/>
        <w:gridCol w:w="3071"/>
        <w:gridCol w:w="3071"/>
      </w:tblGrid>
      <w:tr w:rsidR="007B63DF" w:rsidRPr="007B63DF" w:rsidTr="007B63DF">
        <w:tc>
          <w:tcPr>
            <w:tcW w:w="3070" w:type="dxa"/>
            <w:tcBorders>
              <w:top w:val="single" w:sz="12" w:space="0" w:color="auto"/>
              <w:left w:val="single" w:sz="12" w:space="0" w:color="auto"/>
              <w:bottom w:val="single" w:sz="12" w:space="0" w:color="auto"/>
            </w:tcBorders>
            <w:shd w:val="clear" w:color="auto" w:fill="B8CCE4" w:themeFill="accent1" w:themeFillTint="66"/>
          </w:tcPr>
          <w:p w:rsidR="007B63DF" w:rsidRPr="007B63DF" w:rsidRDefault="007B63DF" w:rsidP="007C1F8E">
            <w:pPr>
              <w:spacing w:before="120" w:after="120" w:line="276" w:lineRule="auto"/>
              <w:jc w:val="center"/>
              <w:rPr>
                <w:rFonts w:asciiTheme="minorHAnsi" w:hAnsiTheme="minorHAnsi"/>
                <w:sz w:val="22"/>
              </w:rPr>
            </w:pPr>
            <w:r w:rsidRPr="007B63DF">
              <w:rPr>
                <w:rFonts w:asciiTheme="minorHAnsi" w:hAnsiTheme="minorHAnsi"/>
                <w:b/>
                <w:bCs/>
                <w:sz w:val="22"/>
              </w:rPr>
              <w:t>Stát</w:t>
            </w:r>
          </w:p>
        </w:tc>
        <w:tc>
          <w:tcPr>
            <w:tcW w:w="3071" w:type="dxa"/>
            <w:tcBorders>
              <w:top w:val="single" w:sz="12" w:space="0" w:color="auto"/>
              <w:bottom w:val="single" w:sz="12" w:space="0" w:color="auto"/>
            </w:tcBorders>
            <w:shd w:val="clear" w:color="auto" w:fill="B8CCE4" w:themeFill="accent1" w:themeFillTint="66"/>
          </w:tcPr>
          <w:p w:rsidR="007B63DF" w:rsidRPr="007B63DF" w:rsidRDefault="007B63DF" w:rsidP="007C1F8E">
            <w:pPr>
              <w:spacing w:before="120" w:after="120" w:line="276" w:lineRule="auto"/>
              <w:jc w:val="center"/>
              <w:rPr>
                <w:rFonts w:asciiTheme="minorHAnsi" w:hAnsiTheme="minorHAnsi"/>
                <w:sz w:val="22"/>
              </w:rPr>
            </w:pPr>
            <w:r w:rsidRPr="007B63DF">
              <w:rPr>
                <w:rFonts w:asciiTheme="minorHAnsi" w:hAnsiTheme="minorHAnsi"/>
                <w:b/>
                <w:bCs/>
                <w:sz w:val="22"/>
              </w:rPr>
              <w:t>Příspěvek vyjádřený v SDR</w:t>
            </w:r>
          </w:p>
        </w:tc>
        <w:tc>
          <w:tcPr>
            <w:tcW w:w="3071" w:type="dxa"/>
            <w:tcBorders>
              <w:top w:val="single" w:sz="12" w:space="0" w:color="auto"/>
              <w:bottom w:val="single" w:sz="12" w:space="0" w:color="auto"/>
              <w:right w:val="single" w:sz="12" w:space="0" w:color="auto"/>
            </w:tcBorders>
            <w:shd w:val="clear" w:color="auto" w:fill="B8CCE4" w:themeFill="accent1" w:themeFillTint="66"/>
          </w:tcPr>
          <w:p w:rsidR="007B63DF" w:rsidRPr="007B63DF" w:rsidRDefault="007B63DF" w:rsidP="007C1F8E">
            <w:pPr>
              <w:spacing w:before="120" w:after="120" w:line="276" w:lineRule="auto"/>
              <w:jc w:val="center"/>
              <w:rPr>
                <w:rFonts w:asciiTheme="minorHAnsi" w:hAnsiTheme="minorHAnsi"/>
                <w:sz w:val="22"/>
              </w:rPr>
            </w:pPr>
            <w:r w:rsidRPr="007B63DF">
              <w:rPr>
                <w:rFonts w:asciiTheme="minorHAnsi" w:hAnsiTheme="minorHAnsi"/>
                <w:b/>
                <w:bCs/>
                <w:sz w:val="22"/>
              </w:rPr>
              <w:t>Příspěvek vyjádřený v USD</w:t>
            </w:r>
          </w:p>
        </w:tc>
      </w:tr>
      <w:tr w:rsidR="007B63DF" w:rsidRPr="007B63DF" w:rsidTr="007B63DF">
        <w:tc>
          <w:tcPr>
            <w:tcW w:w="3070" w:type="dxa"/>
            <w:tcBorders>
              <w:top w:val="single" w:sz="12" w:space="0" w:color="auto"/>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 xml:space="preserve">Argentina </w:t>
            </w:r>
          </w:p>
        </w:tc>
        <w:tc>
          <w:tcPr>
            <w:tcW w:w="3071" w:type="dxa"/>
            <w:tcBorders>
              <w:top w:val="single" w:sz="12" w:space="0" w:color="auto"/>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1,782,675.00</w:t>
            </w:r>
          </w:p>
        </w:tc>
        <w:tc>
          <w:tcPr>
            <w:tcW w:w="3071" w:type="dxa"/>
            <w:tcBorders>
              <w:top w:val="single" w:sz="12" w:space="0" w:color="auto"/>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2,748,118.00</w:t>
            </w:r>
          </w:p>
        </w:tc>
      </w:tr>
      <w:tr w:rsidR="007B63DF" w:rsidRPr="007B63DF" w:rsidTr="007B63DF">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Česká republika</w:t>
            </w:r>
          </w:p>
        </w:tc>
        <w:tc>
          <w:tcPr>
            <w:tcW w:w="3071" w:type="dxa"/>
            <w:tcBorders>
              <w:top w:val="dotted" w:sz="4" w:space="0" w:color="808080" w:themeColor="background1" w:themeShade="80"/>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3,762,535.00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5,800,211.00</w:t>
            </w:r>
          </w:p>
        </w:tc>
      </w:tr>
      <w:tr w:rsidR="007B63DF" w:rsidRPr="007B63DF" w:rsidTr="007B63DF">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Japonsko</w:t>
            </w:r>
          </w:p>
        </w:tc>
        <w:tc>
          <w:tcPr>
            <w:tcW w:w="3071" w:type="dxa"/>
            <w:tcBorders>
              <w:top w:val="dotted" w:sz="4" w:space="0" w:color="808080" w:themeColor="background1" w:themeShade="80"/>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28,678,734.00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44,210,276.00</w:t>
            </w:r>
          </w:p>
        </w:tc>
      </w:tr>
      <w:tr w:rsidR="007B63DF" w:rsidRPr="007B63DF" w:rsidTr="007B63DF">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 xml:space="preserve">Maroko </w:t>
            </w:r>
          </w:p>
        </w:tc>
        <w:tc>
          <w:tcPr>
            <w:tcW w:w="3071" w:type="dxa"/>
            <w:tcBorders>
              <w:top w:val="dotted" w:sz="4" w:space="0" w:color="808080" w:themeColor="background1" w:themeShade="80"/>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24,854.00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38,314.00</w:t>
            </w:r>
          </w:p>
        </w:tc>
      </w:tr>
      <w:tr w:rsidR="007B63DF" w:rsidRPr="007B63DF" w:rsidTr="007B63DF">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Rumunsko</w:t>
            </w:r>
          </w:p>
        </w:tc>
        <w:tc>
          <w:tcPr>
            <w:tcW w:w="3071" w:type="dxa"/>
            <w:tcBorders>
              <w:top w:val="dotted" w:sz="4" w:space="0" w:color="808080" w:themeColor="background1" w:themeShade="80"/>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1,403,096.00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2,162,971.00</w:t>
            </w:r>
          </w:p>
        </w:tc>
      </w:tr>
      <w:tr w:rsidR="007B63DF" w:rsidRPr="007B63DF" w:rsidTr="007B63DF">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Spojené arabské emiráty</w:t>
            </w:r>
          </w:p>
        </w:tc>
        <w:tc>
          <w:tcPr>
            <w:tcW w:w="3071" w:type="dxa"/>
            <w:tcBorders>
              <w:top w:val="dotted" w:sz="4" w:space="0" w:color="808080" w:themeColor="background1" w:themeShade="80"/>
              <w:bottom w:val="dotted"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238,516.00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367,689.00</w:t>
            </w:r>
          </w:p>
        </w:tc>
      </w:tr>
      <w:tr w:rsidR="007B63DF" w:rsidRPr="007B63DF" w:rsidTr="003F62D8">
        <w:tc>
          <w:tcPr>
            <w:tcW w:w="3070" w:type="dxa"/>
            <w:tcBorders>
              <w:top w:val="dotted" w:sz="4" w:space="0" w:color="808080" w:themeColor="background1" w:themeShade="80"/>
              <w:left w:val="single" w:sz="12" w:space="0" w:color="auto"/>
              <w:bottom w:val="double" w:sz="4" w:space="0" w:color="808080" w:themeColor="background1" w:themeShade="80"/>
            </w:tcBorders>
            <w:vAlign w:val="center"/>
          </w:tcPr>
          <w:p w:rsidR="007B63DF" w:rsidRPr="007B63DF" w:rsidRDefault="007B63DF" w:rsidP="007B63DF">
            <w:pPr>
              <w:spacing w:line="276" w:lineRule="auto"/>
              <w:rPr>
                <w:rFonts w:asciiTheme="minorHAnsi" w:hAnsiTheme="minorHAnsi"/>
                <w:sz w:val="22"/>
              </w:rPr>
            </w:pPr>
            <w:r w:rsidRPr="007B63DF">
              <w:rPr>
                <w:rFonts w:asciiTheme="minorHAnsi" w:hAnsiTheme="minorHAnsi"/>
                <w:sz w:val="22"/>
              </w:rPr>
              <w:t>USA</w:t>
            </w:r>
          </w:p>
        </w:tc>
        <w:tc>
          <w:tcPr>
            <w:tcW w:w="3071" w:type="dxa"/>
            <w:tcBorders>
              <w:top w:val="dotted" w:sz="4" w:space="0" w:color="808080" w:themeColor="background1" w:themeShade="80"/>
              <w:bottom w:val="double" w:sz="4" w:space="0" w:color="808080" w:themeColor="background1" w:themeShade="80"/>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45,683,748.00</w:t>
            </w:r>
          </w:p>
        </w:tc>
        <w:tc>
          <w:tcPr>
            <w:tcW w:w="3071" w:type="dxa"/>
            <w:tcBorders>
              <w:top w:val="dotted" w:sz="4" w:space="0" w:color="808080" w:themeColor="background1" w:themeShade="80"/>
              <w:bottom w:val="double" w:sz="4" w:space="0" w:color="808080" w:themeColor="background1" w:themeShade="80"/>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70,424,695.00</w:t>
            </w:r>
          </w:p>
        </w:tc>
      </w:tr>
      <w:tr w:rsidR="007B63DF" w:rsidRPr="007B63DF" w:rsidTr="003F62D8">
        <w:tc>
          <w:tcPr>
            <w:tcW w:w="3070" w:type="dxa"/>
            <w:tcBorders>
              <w:top w:val="double" w:sz="4" w:space="0" w:color="808080" w:themeColor="background1" w:themeShade="80"/>
              <w:left w:val="single" w:sz="12" w:space="0" w:color="auto"/>
              <w:bottom w:val="thinThickSmallGap" w:sz="24" w:space="0" w:color="auto"/>
            </w:tcBorders>
            <w:vAlign w:val="center"/>
          </w:tcPr>
          <w:p w:rsidR="007B63DF" w:rsidRPr="007B63DF" w:rsidRDefault="003F62D8" w:rsidP="007B63DF">
            <w:pPr>
              <w:spacing w:line="276" w:lineRule="auto"/>
              <w:rPr>
                <w:rFonts w:asciiTheme="minorHAnsi" w:hAnsiTheme="minorHAnsi"/>
                <w:sz w:val="22"/>
              </w:rPr>
            </w:pPr>
            <w:r>
              <w:rPr>
                <w:rFonts w:asciiTheme="minorHAnsi" w:hAnsiTheme="minorHAnsi"/>
                <w:sz w:val="22"/>
              </w:rPr>
              <w:t>Celkem</w:t>
            </w:r>
          </w:p>
        </w:tc>
        <w:tc>
          <w:tcPr>
            <w:tcW w:w="3071" w:type="dxa"/>
            <w:tcBorders>
              <w:top w:val="double" w:sz="4" w:space="0" w:color="808080" w:themeColor="background1" w:themeShade="80"/>
              <w:bottom w:val="thinThickSmallGap" w:sz="24"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81,574,158.00</w:t>
            </w:r>
          </w:p>
        </w:tc>
        <w:tc>
          <w:tcPr>
            <w:tcW w:w="3071" w:type="dxa"/>
            <w:tcBorders>
              <w:top w:val="double" w:sz="4" w:space="0" w:color="808080" w:themeColor="background1" w:themeShade="80"/>
              <w:bottom w:val="thinThickSmallGap" w:sz="24" w:space="0" w:color="auto"/>
              <w:right w:val="single" w:sz="12" w:space="0" w:color="auto"/>
            </w:tcBorders>
            <w:vAlign w:val="center"/>
          </w:tcPr>
          <w:p w:rsidR="007B63DF" w:rsidRPr="007B63DF" w:rsidRDefault="007B63DF" w:rsidP="007B63DF">
            <w:pPr>
              <w:spacing w:line="276" w:lineRule="auto"/>
              <w:jc w:val="right"/>
              <w:rPr>
                <w:rFonts w:asciiTheme="minorHAnsi" w:hAnsiTheme="minorHAnsi"/>
                <w:sz w:val="22"/>
              </w:rPr>
            </w:pPr>
            <w:r w:rsidRPr="007B63DF">
              <w:rPr>
                <w:rFonts w:asciiTheme="minorHAnsi" w:hAnsiTheme="minorHAnsi"/>
                <w:sz w:val="22"/>
              </w:rPr>
              <w:t>125,752,275.00</w:t>
            </w:r>
          </w:p>
        </w:tc>
      </w:tr>
    </w:tbl>
    <w:p w:rsidR="00E963D2" w:rsidRDefault="00E963D2" w:rsidP="00DB6DBA">
      <w:pPr>
        <w:spacing w:after="0"/>
        <w:rPr>
          <w:rFonts w:cs="Arial"/>
        </w:rPr>
      </w:pPr>
    </w:p>
    <w:p w:rsidR="00E963D2" w:rsidRDefault="00E963D2">
      <w:pPr>
        <w:rPr>
          <w:rFonts w:cs="Arial"/>
        </w:rPr>
      </w:pPr>
      <w:r>
        <w:rPr>
          <w:rFonts w:cs="Arial"/>
        </w:rPr>
        <w:br w:type="page"/>
      </w:r>
    </w:p>
    <w:p w:rsidR="00C223D0" w:rsidRDefault="00C223D0" w:rsidP="00C223D0">
      <w:pPr>
        <w:pStyle w:val="Titulek"/>
        <w:keepNext/>
        <w:jc w:val="both"/>
        <w:rPr>
          <w:rFonts w:cs="Times New Roman"/>
          <w:b w:val="0"/>
          <w:bCs w:val="0"/>
          <w:i/>
          <w:color w:val="auto"/>
          <w:sz w:val="22"/>
          <w:szCs w:val="22"/>
        </w:rPr>
      </w:pPr>
      <w:bookmarkStart w:id="127" w:name="_Toc420058313"/>
      <w:r w:rsidRPr="00C223D0">
        <w:rPr>
          <w:rFonts w:cs="Times New Roman"/>
          <w:bCs w:val="0"/>
          <w:color w:val="auto"/>
          <w:sz w:val="22"/>
          <w:szCs w:val="22"/>
        </w:rPr>
        <w:lastRenderedPageBreak/>
        <w:t xml:space="preserve">Tabulka č. </w:t>
      </w:r>
      <w:r w:rsidRPr="00C223D0">
        <w:rPr>
          <w:rFonts w:cs="Times New Roman"/>
          <w:bCs w:val="0"/>
          <w:color w:val="auto"/>
          <w:sz w:val="22"/>
          <w:szCs w:val="22"/>
        </w:rPr>
        <w:fldChar w:fldCharType="begin"/>
      </w:r>
      <w:r w:rsidRPr="00C223D0">
        <w:rPr>
          <w:rFonts w:cs="Times New Roman"/>
          <w:bCs w:val="0"/>
          <w:color w:val="auto"/>
          <w:sz w:val="22"/>
          <w:szCs w:val="22"/>
        </w:rPr>
        <w:instrText xml:space="preserve"> SEQ Tabulka_č. \* ARABIC </w:instrText>
      </w:r>
      <w:r w:rsidRPr="00C223D0">
        <w:rPr>
          <w:rFonts w:cs="Times New Roman"/>
          <w:bCs w:val="0"/>
          <w:color w:val="auto"/>
          <w:sz w:val="22"/>
          <w:szCs w:val="22"/>
        </w:rPr>
        <w:fldChar w:fldCharType="separate"/>
      </w:r>
      <w:r w:rsidR="00FE1E1A">
        <w:rPr>
          <w:rFonts w:cs="Times New Roman"/>
          <w:bCs w:val="0"/>
          <w:noProof/>
          <w:color w:val="auto"/>
          <w:sz w:val="22"/>
          <w:szCs w:val="22"/>
        </w:rPr>
        <w:t>9</w:t>
      </w:r>
      <w:r w:rsidRPr="00C223D0">
        <w:rPr>
          <w:rFonts w:cs="Times New Roman"/>
          <w:bCs w:val="0"/>
          <w:color w:val="auto"/>
          <w:sz w:val="22"/>
          <w:szCs w:val="22"/>
        </w:rPr>
        <w:fldChar w:fldCharType="end"/>
      </w:r>
      <w:r w:rsidRPr="00C223D0">
        <w:rPr>
          <w:rFonts w:cs="Times New Roman"/>
          <w:bCs w:val="0"/>
          <w:color w:val="auto"/>
          <w:sz w:val="22"/>
          <w:szCs w:val="22"/>
        </w:rPr>
        <w:t xml:space="preserve">: </w:t>
      </w:r>
      <w:r w:rsidRPr="00C223D0">
        <w:rPr>
          <w:rFonts w:cs="Times New Roman"/>
          <w:b w:val="0"/>
          <w:bCs w:val="0"/>
          <w:i/>
          <w:color w:val="auto"/>
          <w:sz w:val="22"/>
          <w:szCs w:val="22"/>
        </w:rPr>
        <w:t>Příspěvky do druhého pilíře v případě participace současných smluvních států + Japonska, Kanady a České republiky</w:t>
      </w:r>
      <w:bookmarkEnd w:id="127"/>
    </w:p>
    <w:tbl>
      <w:tblPr>
        <w:tblStyle w:val="Mkatabulky"/>
        <w:tblW w:w="0" w:type="auto"/>
        <w:tblLook w:val="04A0" w:firstRow="1" w:lastRow="0" w:firstColumn="1" w:lastColumn="0" w:noHBand="0" w:noVBand="1"/>
      </w:tblPr>
      <w:tblGrid>
        <w:gridCol w:w="3070"/>
        <w:gridCol w:w="3071"/>
        <w:gridCol w:w="3071"/>
      </w:tblGrid>
      <w:tr w:rsidR="003F62D8" w:rsidRPr="007B63DF" w:rsidTr="007C1F8E">
        <w:tc>
          <w:tcPr>
            <w:tcW w:w="3070" w:type="dxa"/>
            <w:tcBorders>
              <w:top w:val="single" w:sz="12" w:space="0" w:color="auto"/>
              <w:left w:val="single" w:sz="12" w:space="0" w:color="auto"/>
              <w:bottom w:val="single" w:sz="12" w:space="0" w:color="auto"/>
            </w:tcBorders>
            <w:shd w:val="clear" w:color="auto" w:fill="B8CCE4" w:themeFill="accent1" w:themeFillTint="66"/>
          </w:tcPr>
          <w:p w:rsidR="003F62D8" w:rsidRPr="007B63DF" w:rsidRDefault="003F62D8" w:rsidP="007C1F8E">
            <w:pPr>
              <w:spacing w:before="120" w:after="120" w:line="276" w:lineRule="auto"/>
              <w:jc w:val="center"/>
              <w:rPr>
                <w:rFonts w:asciiTheme="minorHAnsi" w:hAnsiTheme="minorHAnsi"/>
                <w:sz w:val="22"/>
              </w:rPr>
            </w:pPr>
            <w:r w:rsidRPr="007B63DF">
              <w:rPr>
                <w:rFonts w:asciiTheme="minorHAnsi" w:hAnsiTheme="minorHAnsi"/>
                <w:b/>
                <w:bCs/>
                <w:sz w:val="22"/>
              </w:rPr>
              <w:t>Stát</w:t>
            </w:r>
          </w:p>
        </w:tc>
        <w:tc>
          <w:tcPr>
            <w:tcW w:w="3071" w:type="dxa"/>
            <w:tcBorders>
              <w:top w:val="single" w:sz="12" w:space="0" w:color="auto"/>
              <w:bottom w:val="single" w:sz="12" w:space="0" w:color="auto"/>
            </w:tcBorders>
            <w:shd w:val="clear" w:color="auto" w:fill="B8CCE4" w:themeFill="accent1" w:themeFillTint="66"/>
          </w:tcPr>
          <w:p w:rsidR="003F62D8" w:rsidRPr="007B63DF" w:rsidRDefault="003F62D8" w:rsidP="007C1F8E">
            <w:pPr>
              <w:spacing w:before="120" w:after="120" w:line="276" w:lineRule="auto"/>
              <w:jc w:val="center"/>
              <w:rPr>
                <w:rFonts w:asciiTheme="minorHAnsi" w:hAnsiTheme="minorHAnsi"/>
                <w:sz w:val="22"/>
              </w:rPr>
            </w:pPr>
            <w:r w:rsidRPr="007B63DF">
              <w:rPr>
                <w:rFonts w:asciiTheme="minorHAnsi" w:hAnsiTheme="minorHAnsi"/>
                <w:b/>
                <w:bCs/>
                <w:sz w:val="22"/>
              </w:rPr>
              <w:t>Příspěvek vyjádřený v SDR</w:t>
            </w:r>
          </w:p>
        </w:tc>
        <w:tc>
          <w:tcPr>
            <w:tcW w:w="3071" w:type="dxa"/>
            <w:tcBorders>
              <w:top w:val="single" w:sz="12" w:space="0" w:color="auto"/>
              <w:bottom w:val="single" w:sz="12" w:space="0" w:color="auto"/>
              <w:right w:val="single" w:sz="12" w:space="0" w:color="auto"/>
            </w:tcBorders>
            <w:shd w:val="clear" w:color="auto" w:fill="B8CCE4" w:themeFill="accent1" w:themeFillTint="66"/>
          </w:tcPr>
          <w:p w:rsidR="003F62D8" w:rsidRPr="007B63DF" w:rsidRDefault="003F62D8" w:rsidP="007C1F8E">
            <w:pPr>
              <w:spacing w:before="120" w:after="120" w:line="276" w:lineRule="auto"/>
              <w:jc w:val="center"/>
              <w:rPr>
                <w:rFonts w:asciiTheme="minorHAnsi" w:hAnsiTheme="minorHAnsi"/>
                <w:sz w:val="22"/>
              </w:rPr>
            </w:pPr>
            <w:r w:rsidRPr="007B63DF">
              <w:rPr>
                <w:rFonts w:asciiTheme="minorHAnsi" w:hAnsiTheme="minorHAnsi"/>
                <w:b/>
                <w:bCs/>
                <w:sz w:val="22"/>
              </w:rPr>
              <w:t>Příspěvek vyjádřený v USD</w:t>
            </w:r>
          </w:p>
        </w:tc>
      </w:tr>
      <w:tr w:rsidR="003F62D8" w:rsidRPr="007B63DF" w:rsidTr="007C1F8E">
        <w:tc>
          <w:tcPr>
            <w:tcW w:w="3070" w:type="dxa"/>
            <w:tcBorders>
              <w:top w:val="single" w:sz="12" w:space="0" w:color="auto"/>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 xml:space="preserve">Argentina </w:t>
            </w:r>
          </w:p>
        </w:tc>
        <w:tc>
          <w:tcPr>
            <w:tcW w:w="3071" w:type="dxa"/>
            <w:tcBorders>
              <w:top w:val="single" w:sz="12" w:space="0" w:color="auto"/>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1,784,662.00</w:t>
            </w:r>
          </w:p>
        </w:tc>
        <w:tc>
          <w:tcPr>
            <w:tcW w:w="3071" w:type="dxa"/>
            <w:tcBorders>
              <w:top w:val="single" w:sz="12" w:space="0" w:color="auto"/>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2,751,181.00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Česká republika</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3,764,310.00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5,802,948.00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Japonsko</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31,514,278.00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48,581,465.00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pPr>
            <w:r w:rsidRPr="003F62D8">
              <w:rPr>
                <w:rFonts w:asciiTheme="minorHAnsi" w:hAnsiTheme="minorHAnsi"/>
                <w:sz w:val="22"/>
              </w:rPr>
              <w:t>Kanada</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ind w:hanging="357"/>
              <w:jc w:val="right"/>
              <w:rPr>
                <w:rFonts w:asciiTheme="minorHAnsi" w:hAnsiTheme="minorHAnsi"/>
                <w:sz w:val="22"/>
              </w:rPr>
            </w:pPr>
            <w:r w:rsidRPr="003F62D8">
              <w:rPr>
                <w:rFonts w:asciiTheme="minorHAnsi" w:hAnsiTheme="minorHAnsi"/>
                <w:sz w:val="22"/>
              </w:rPr>
              <w:t>14,897,413.00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ind w:hanging="357"/>
              <w:jc w:val="right"/>
              <w:rPr>
                <w:rFonts w:asciiTheme="minorHAnsi" w:hAnsiTheme="minorHAnsi"/>
                <w:sz w:val="22"/>
              </w:rPr>
            </w:pPr>
            <w:r w:rsidRPr="003F62D8">
              <w:rPr>
                <w:rFonts w:asciiTheme="minorHAnsi" w:hAnsiTheme="minorHAnsi"/>
                <w:sz w:val="22"/>
              </w:rPr>
              <w:t>22,965,406.00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 xml:space="preserve">Maroko </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25,139.00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38,753.00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Rumunsko</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1,404,136.00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2,164,573.00</w:t>
            </w:r>
          </w:p>
        </w:tc>
      </w:tr>
      <w:tr w:rsidR="003F62D8" w:rsidRPr="007B63DF" w:rsidTr="007C1F8E">
        <w:tc>
          <w:tcPr>
            <w:tcW w:w="3070" w:type="dxa"/>
            <w:tcBorders>
              <w:top w:val="dotted" w:sz="4" w:space="0" w:color="808080" w:themeColor="background1" w:themeShade="80"/>
              <w:left w:val="single" w:sz="12" w:space="0" w:color="auto"/>
              <w:bottom w:val="dotted"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Spojené arabské emiráty</w:t>
            </w:r>
          </w:p>
        </w:tc>
        <w:tc>
          <w:tcPr>
            <w:tcW w:w="3071" w:type="dxa"/>
            <w:tcBorders>
              <w:top w:val="dotted" w:sz="4" w:space="0" w:color="808080" w:themeColor="background1" w:themeShade="80"/>
              <w:bottom w:val="dotted"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241,253.00</w:t>
            </w:r>
          </w:p>
        </w:tc>
        <w:tc>
          <w:tcPr>
            <w:tcW w:w="3071" w:type="dxa"/>
            <w:tcBorders>
              <w:top w:val="dotted" w:sz="4" w:space="0" w:color="808080" w:themeColor="background1" w:themeShade="80"/>
              <w:bottom w:val="dotted"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371,908.00</w:t>
            </w:r>
          </w:p>
        </w:tc>
      </w:tr>
      <w:tr w:rsidR="003F62D8" w:rsidRPr="007B63DF" w:rsidTr="003F62D8">
        <w:tc>
          <w:tcPr>
            <w:tcW w:w="3070" w:type="dxa"/>
            <w:tcBorders>
              <w:top w:val="dotted" w:sz="4" w:space="0" w:color="808080" w:themeColor="background1" w:themeShade="80"/>
              <w:left w:val="single" w:sz="12" w:space="0" w:color="auto"/>
              <w:bottom w:val="double" w:sz="4" w:space="0" w:color="808080" w:themeColor="background1" w:themeShade="80"/>
            </w:tcBorders>
            <w:vAlign w:val="center"/>
          </w:tcPr>
          <w:p w:rsidR="003F62D8" w:rsidRPr="007B63DF" w:rsidRDefault="003F62D8" w:rsidP="003F62D8">
            <w:pPr>
              <w:spacing w:line="276" w:lineRule="auto"/>
              <w:rPr>
                <w:rFonts w:asciiTheme="minorHAnsi" w:hAnsiTheme="minorHAnsi"/>
                <w:sz w:val="22"/>
              </w:rPr>
            </w:pPr>
            <w:r w:rsidRPr="007B63DF">
              <w:rPr>
                <w:rFonts w:asciiTheme="minorHAnsi" w:hAnsiTheme="minorHAnsi"/>
                <w:sz w:val="22"/>
              </w:rPr>
              <w:t>USA</w:t>
            </w:r>
          </w:p>
        </w:tc>
        <w:tc>
          <w:tcPr>
            <w:tcW w:w="3071" w:type="dxa"/>
            <w:tcBorders>
              <w:top w:val="dotted" w:sz="4" w:space="0" w:color="808080" w:themeColor="background1" w:themeShade="80"/>
              <w:bottom w:val="double" w:sz="4" w:space="0" w:color="808080" w:themeColor="background1" w:themeShade="80"/>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50,200,623.00</w:t>
            </w:r>
          </w:p>
        </w:tc>
        <w:tc>
          <w:tcPr>
            <w:tcW w:w="3071" w:type="dxa"/>
            <w:tcBorders>
              <w:top w:val="dotted" w:sz="4" w:space="0" w:color="808080" w:themeColor="background1" w:themeShade="80"/>
              <w:bottom w:val="double" w:sz="4" w:space="0" w:color="808080" w:themeColor="background1" w:themeShade="80"/>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77,387,774.00</w:t>
            </w:r>
          </w:p>
        </w:tc>
      </w:tr>
      <w:tr w:rsidR="003F62D8" w:rsidRPr="007B63DF" w:rsidTr="003F62D8">
        <w:tc>
          <w:tcPr>
            <w:tcW w:w="3070" w:type="dxa"/>
            <w:tcBorders>
              <w:top w:val="double" w:sz="4" w:space="0" w:color="808080" w:themeColor="background1" w:themeShade="80"/>
              <w:left w:val="single" w:sz="12" w:space="0" w:color="auto"/>
              <w:bottom w:val="thinThickSmallGap" w:sz="24" w:space="0" w:color="auto"/>
            </w:tcBorders>
            <w:vAlign w:val="center"/>
          </w:tcPr>
          <w:p w:rsidR="003F62D8" w:rsidRPr="007B63DF" w:rsidRDefault="003F62D8" w:rsidP="003F62D8">
            <w:pPr>
              <w:spacing w:line="276" w:lineRule="auto"/>
              <w:rPr>
                <w:rFonts w:asciiTheme="minorHAnsi" w:hAnsiTheme="minorHAnsi"/>
                <w:sz w:val="22"/>
              </w:rPr>
            </w:pPr>
            <w:r>
              <w:rPr>
                <w:rFonts w:asciiTheme="minorHAnsi" w:hAnsiTheme="minorHAnsi"/>
                <w:sz w:val="22"/>
              </w:rPr>
              <w:t>Celkem</w:t>
            </w:r>
          </w:p>
        </w:tc>
        <w:tc>
          <w:tcPr>
            <w:tcW w:w="3071" w:type="dxa"/>
            <w:tcBorders>
              <w:top w:val="double" w:sz="4" w:space="0" w:color="808080" w:themeColor="background1" w:themeShade="80"/>
              <w:bottom w:val="thinThickSmallGap" w:sz="24"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103,831,814.00</w:t>
            </w:r>
          </w:p>
        </w:tc>
        <w:tc>
          <w:tcPr>
            <w:tcW w:w="3071" w:type="dxa"/>
            <w:tcBorders>
              <w:top w:val="double" w:sz="4" w:space="0" w:color="808080" w:themeColor="background1" w:themeShade="80"/>
              <w:bottom w:val="thinThickSmallGap" w:sz="24" w:space="0" w:color="auto"/>
              <w:right w:val="single" w:sz="12" w:space="0" w:color="auto"/>
            </w:tcBorders>
            <w:vAlign w:val="center"/>
          </w:tcPr>
          <w:p w:rsidR="003F62D8" w:rsidRPr="003F62D8" w:rsidRDefault="003F62D8" w:rsidP="007C1F8E">
            <w:pPr>
              <w:jc w:val="right"/>
              <w:rPr>
                <w:rFonts w:asciiTheme="minorHAnsi" w:hAnsiTheme="minorHAnsi"/>
                <w:sz w:val="22"/>
              </w:rPr>
            </w:pPr>
            <w:r w:rsidRPr="003F62D8">
              <w:rPr>
                <w:rFonts w:asciiTheme="minorHAnsi" w:hAnsiTheme="minorHAnsi"/>
                <w:sz w:val="22"/>
              </w:rPr>
              <w:t>160,064,009.00</w:t>
            </w:r>
          </w:p>
        </w:tc>
      </w:tr>
    </w:tbl>
    <w:p w:rsidR="00C42583" w:rsidRDefault="00C42583">
      <w:pPr>
        <w:rPr>
          <w:rFonts w:cs="Arial"/>
          <w:b/>
        </w:rPr>
      </w:pPr>
    </w:p>
    <w:p w:rsidR="00DB6DBA" w:rsidRPr="00737B21" w:rsidRDefault="00DB6DBA" w:rsidP="00DB6DBA">
      <w:pPr>
        <w:spacing w:after="120"/>
        <w:jc w:val="both"/>
        <w:rPr>
          <w:rFonts w:cs="Arial"/>
          <w:b/>
        </w:rPr>
      </w:pPr>
      <w:r w:rsidRPr="00737B21">
        <w:rPr>
          <w:rFonts w:cs="Arial"/>
          <w:b/>
        </w:rPr>
        <w:t xml:space="preserve">Ve vztahu k budoucí úpravě odpovědnosti za jaderné škody v České republice </w:t>
      </w:r>
      <w:r w:rsidR="00F27BF3" w:rsidRPr="00737B21">
        <w:rPr>
          <w:rFonts w:cs="Arial"/>
          <w:b/>
        </w:rPr>
        <w:t xml:space="preserve">tedy </w:t>
      </w:r>
      <w:r w:rsidRPr="00737B21">
        <w:rPr>
          <w:rFonts w:cs="Arial"/>
          <w:b/>
        </w:rPr>
        <w:t>lze konstatovat následující:</w:t>
      </w:r>
    </w:p>
    <w:p w:rsidR="00DB6DBA" w:rsidRPr="00737B21" w:rsidRDefault="00DB6DBA" w:rsidP="0044189F">
      <w:pPr>
        <w:pStyle w:val="Odstavecseseznamem"/>
        <w:numPr>
          <w:ilvl w:val="0"/>
          <w:numId w:val="48"/>
        </w:numPr>
        <w:spacing w:after="120"/>
        <w:jc w:val="both"/>
        <w:rPr>
          <w:rFonts w:cs="Arial"/>
          <w:b/>
        </w:rPr>
      </w:pPr>
      <w:r w:rsidRPr="00737B21">
        <w:rPr>
          <w:rFonts w:cs="Arial"/>
          <w:b/>
        </w:rPr>
        <w:t>další aktivní rozvoj jaderné energetiky v České republice nemůže být omezen výlučně na výstavbu nových jaderných zařízení, ale musí být doprovázen posilováním vnitrostátního legislativního prostředí, v rámci kterého sehrává oblast odpovědnosti za jaderné škody (vedle úpravy jaderné bezpečnosti, nakládání s radioaktivními odpady a vyhořelým jaderným palivem a radiační ochrany) klíčovou roli,</w:t>
      </w:r>
    </w:p>
    <w:p w:rsidR="00DB6DBA" w:rsidRPr="00737B21" w:rsidRDefault="00DB6DBA" w:rsidP="0044189F">
      <w:pPr>
        <w:pStyle w:val="Odstavecseseznamem"/>
        <w:numPr>
          <w:ilvl w:val="0"/>
          <w:numId w:val="48"/>
        </w:numPr>
        <w:spacing w:after="120"/>
        <w:jc w:val="both"/>
        <w:rPr>
          <w:rFonts w:cs="Arial"/>
          <w:b/>
        </w:rPr>
      </w:pPr>
      <w:r w:rsidRPr="00737B21">
        <w:rPr>
          <w:rFonts w:cs="Arial"/>
          <w:b/>
        </w:rPr>
        <w:t>další rozvoj úpravy odpovědnosti za jaderné škody v České republice by měl probíhat v souladu s rámcem vytvořeným existujícími multilaterálními mezinárodními úmluvami, konkrétně VÚ 1997 a UDK 1997 (které již Česká republika podepsala, doposud je ovšem neratifikovala), tj. měly by být i v budoucnosti zachovány v současnosti zakotvené základní zásady odpovědnosti (výlučná odpovědnost provozovatele, omezení odpovědnosti, povinné pojištění, výlučná příslušnost soudu atd.), mělo by být ovšem přistoupeno k jejich optimalizaci v souladu s ustanoveními odpovědn</w:t>
      </w:r>
      <w:r w:rsidR="00F27BF3">
        <w:rPr>
          <w:rFonts w:cs="Arial"/>
          <w:b/>
        </w:rPr>
        <w:t>ostních úmluv „druhé generace“,</w:t>
      </w:r>
    </w:p>
    <w:p w:rsidR="00DB6DBA" w:rsidRPr="00737B21" w:rsidRDefault="00B8534B" w:rsidP="0044189F">
      <w:pPr>
        <w:pStyle w:val="Odstavecseseznamem"/>
        <w:numPr>
          <w:ilvl w:val="0"/>
          <w:numId w:val="48"/>
        </w:numPr>
        <w:spacing w:after="120"/>
        <w:jc w:val="both"/>
        <w:rPr>
          <w:rFonts w:cs="Arial"/>
          <w:b/>
        </w:rPr>
      </w:pPr>
      <w:r>
        <w:rPr>
          <w:rFonts w:cs="Arial"/>
          <w:b/>
        </w:rPr>
        <w:t xml:space="preserve">doporučujeme </w:t>
      </w:r>
      <w:r w:rsidRPr="00737B21">
        <w:rPr>
          <w:rFonts w:cs="Arial"/>
          <w:b/>
        </w:rPr>
        <w:t>ratifikac</w:t>
      </w:r>
      <w:r>
        <w:rPr>
          <w:rFonts w:cs="Arial"/>
          <w:b/>
        </w:rPr>
        <w:t>i</w:t>
      </w:r>
      <w:r w:rsidRPr="00737B21">
        <w:rPr>
          <w:rFonts w:cs="Arial"/>
          <w:b/>
        </w:rPr>
        <w:t xml:space="preserve"> </w:t>
      </w:r>
      <w:r w:rsidR="00DB6DBA" w:rsidRPr="00737B21">
        <w:rPr>
          <w:rFonts w:cs="Arial"/>
          <w:b/>
        </w:rPr>
        <w:t>VÚ 1997, res</w:t>
      </w:r>
      <w:r w:rsidR="00A4650A">
        <w:rPr>
          <w:rFonts w:cs="Arial"/>
          <w:b/>
        </w:rPr>
        <w:t>p</w:t>
      </w:r>
      <w:r w:rsidR="00DB6DBA" w:rsidRPr="00737B21">
        <w:rPr>
          <w:rFonts w:cs="Arial"/>
          <w:b/>
        </w:rPr>
        <w:t xml:space="preserve">. VÚ 1997 společně </w:t>
      </w:r>
      <w:r w:rsidR="00DB6DBA" w:rsidRPr="00F27BF3">
        <w:rPr>
          <w:rFonts w:cs="Arial"/>
          <w:b/>
        </w:rPr>
        <w:t>s </w:t>
      </w:r>
      <w:r w:rsidR="00F27BF3" w:rsidRPr="00F27BF3">
        <w:rPr>
          <w:b/>
        </w:rPr>
        <w:t>Ú</w:t>
      </w:r>
      <w:r w:rsidR="00DB6DBA" w:rsidRPr="00F27BF3">
        <w:rPr>
          <w:rFonts w:cs="Arial"/>
          <w:b/>
        </w:rPr>
        <w:t>DK 1</w:t>
      </w:r>
      <w:r w:rsidR="00DB6DBA" w:rsidRPr="00737B21">
        <w:rPr>
          <w:rFonts w:cs="Arial"/>
          <w:b/>
        </w:rPr>
        <w:t>997</w:t>
      </w:r>
      <w:r>
        <w:rPr>
          <w:rFonts w:cs="Arial"/>
          <w:b/>
        </w:rPr>
        <w:t>, která</w:t>
      </w:r>
      <w:r w:rsidR="00DB6DBA" w:rsidRPr="00737B21">
        <w:rPr>
          <w:rFonts w:cs="Arial"/>
          <w:b/>
        </w:rPr>
        <w:t xml:space="preserve"> by měla za následek nejenom posílení odpovědnostního rámce v České republice, ale představovala by legitim</w:t>
      </w:r>
      <w:r w:rsidR="00F27BF3">
        <w:rPr>
          <w:rFonts w:cs="Arial"/>
          <w:b/>
        </w:rPr>
        <w:t>iz</w:t>
      </w:r>
      <w:r w:rsidR="00DB6DBA" w:rsidRPr="00737B21">
        <w:rPr>
          <w:rFonts w:cs="Arial"/>
          <w:b/>
        </w:rPr>
        <w:t>aci rozvoje českého jaderného programu i vůči sousedním („jaderným“ i</w:t>
      </w:r>
      <w:r w:rsidR="007B63DF">
        <w:rPr>
          <w:rFonts w:cs="Arial"/>
          <w:b/>
        </w:rPr>
        <w:t> </w:t>
      </w:r>
      <w:r w:rsidR="00DB6DBA" w:rsidRPr="00737B21">
        <w:rPr>
          <w:rFonts w:cs="Arial"/>
          <w:b/>
        </w:rPr>
        <w:t>„nejaderným“) státům,</w:t>
      </w:r>
    </w:p>
    <w:p w:rsidR="00C42583" w:rsidRDefault="00B8534B" w:rsidP="0044189F">
      <w:pPr>
        <w:pStyle w:val="Odstavecseseznamem"/>
        <w:numPr>
          <w:ilvl w:val="0"/>
          <w:numId w:val="48"/>
        </w:numPr>
        <w:spacing w:after="240"/>
        <w:ind w:left="714" w:hanging="357"/>
        <w:contextualSpacing w:val="0"/>
        <w:jc w:val="both"/>
        <w:rPr>
          <w:rFonts w:cs="Arial"/>
          <w:b/>
        </w:rPr>
      </w:pPr>
      <w:r>
        <w:rPr>
          <w:rFonts w:cs="Arial"/>
          <w:b/>
        </w:rPr>
        <w:t xml:space="preserve">doporučujeme </w:t>
      </w:r>
      <w:r w:rsidRPr="00737B21">
        <w:rPr>
          <w:rFonts w:cs="Arial"/>
          <w:b/>
        </w:rPr>
        <w:t>ratifikac</w:t>
      </w:r>
      <w:r>
        <w:rPr>
          <w:rFonts w:cs="Arial"/>
          <w:b/>
        </w:rPr>
        <w:t>i</w:t>
      </w:r>
      <w:r w:rsidRPr="00737B21">
        <w:rPr>
          <w:rFonts w:cs="Arial"/>
          <w:b/>
        </w:rPr>
        <w:t xml:space="preserve"> </w:t>
      </w:r>
      <w:r w:rsidR="00DB6DBA" w:rsidRPr="00737B21">
        <w:rPr>
          <w:rFonts w:cs="Arial"/>
          <w:b/>
        </w:rPr>
        <w:t>VÚ 1997, res</w:t>
      </w:r>
      <w:r w:rsidR="00A4650A">
        <w:rPr>
          <w:rFonts w:cs="Arial"/>
          <w:b/>
        </w:rPr>
        <w:t>p</w:t>
      </w:r>
      <w:r w:rsidR="00DB6DBA" w:rsidRPr="00737B21">
        <w:rPr>
          <w:rFonts w:cs="Arial"/>
          <w:b/>
        </w:rPr>
        <w:t>. VÚ 1997 společně s </w:t>
      </w:r>
      <w:r w:rsidR="00F27BF3">
        <w:rPr>
          <w:rFonts w:cs="Arial"/>
          <w:b/>
        </w:rPr>
        <w:t>Ú</w:t>
      </w:r>
      <w:r w:rsidR="00DB6DBA" w:rsidRPr="00737B21">
        <w:rPr>
          <w:rFonts w:cs="Arial"/>
          <w:b/>
        </w:rPr>
        <w:t>DK 1997</w:t>
      </w:r>
      <w:r>
        <w:rPr>
          <w:rFonts w:cs="Arial"/>
          <w:b/>
        </w:rPr>
        <w:t>, která</w:t>
      </w:r>
      <w:r w:rsidR="00DB6DBA" w:rsidRPr="00737B21">
        <w:rPr>
          <w:rFonts w:cs="Arial"/>
          <w:b/>
        </w:rPr>
        <w:t xml:space="preserve"> by měla dále za následek </w:t>
      </w:r>
      <w:r w:rsidR="00F27BF3">
        <w:rPr>
          <w:rFonts w:cs="Arial"/>
          <w:b/>
        </w:rPr>
        <w:t>také</w:t>
      </w:r>
      <w:r w:rsidR="00DB6DBA" w:rsidRPr="00737B21">
        <w:rPr>
          <w:rFonts w:cs="Arial"/>
          <w:b/>
        </w:rPr>
        <w:t xml:space="preserve"> legitim</w:t>
      </w:r>
      <w:r w:rsidR="00F27BF3">
        <w:rPr>
          <w:rFonts w:cs="Arial"/>
          <w:b/>
        </w:rPr>
        <w:t>iz</w:t>
      </w:r>
      <w:r w:rsidR="00DB6DBA" w:rsidRPr="00737B21">
        <w:rPr>
          <w:rFonts w:cs="Arial"/>
          <w:b/>
        </w:rPr>
        <w:t>aci rozvoje českého jaderného programu ve vztahu k orgánům EU</w:t>
      </w:r>
      <w:r w:rsidR="00F27BF3">
        <w:rPr>
          <w:rFonts w:cs="Arial"/>
          <w:b/>
        </w:rPr>
        <w:t>,</w:t>
      </w:r>
      <w:r w:rsidR="00DB6DBA" w:rsidRPr="00737B21">
        <w:rPr>
          <w:rFonts w:cs="Arial"/>
          <w:b/>
        </w:rPr>
        <w:t xml:space="preserve"> a to zejména s ohledem na případné snahy harmonizovat oblast odpovědnosti za jaderné škody prostředky evropského práva.</w:t>
      </w:r>
    </w:p>
    <w:p w:rsidR="00C42583" w:rsidRDefault="00C42583">
      <w:pPr>
        <w:rPr>
          <w:rFonts w:cs="Arial"/>
          <w:b/>
        </w:rPr>
      </w:pPr>
      <w:r>
        <w:rPr>
          <w:rFonts w:cs="Arial"/>
          <w:b/>
        </w:rPr>
        <w:br w:type="page"/>
      </w:r>
    </w:p>
    <w:p w:rsidR="000B2F41" w:rsidRDefault="00403E3C" w:rsidP="000B2F41">
      <w:pPr>
        <w:pStyle w:val="Nadpis1"/>
      </w:pPr>
      <w:bookmarkStart w:id="128" w:name="_Toc407035557"/>
      <w:bookmarkStart w:id="129" w:name="_Toc420056006"/>
      <w:r w:rsidRPr="000064B2">
        <w:lastRenderedPageBreak/>
        <w:t>Současný stav</w:t>
      </w:r>
      <w:r w:rsidR="00AC7ABE">
        <w:t xml:space="preserve"> </w:t>
      </w:r>
      <w:r w:rsidR="00706B92">
        <w:t>jaderné energetiky</w:t>
      </w:r>
      <w:bookmarkEnd w:id="128"/>
      <w:r w:rsidR="007C2EC3">
        <w:t xml:space="preserve"> v ČR</w:t>
      </w:r>
      <w:bookmarkEnd w:id="129"/>
    </w:p>
    <w:p w:rsidR="00855233" w:rsidRPr="002E4520" w:rsidRDefault="00855233" w:rsidP="007E6DCD">
      <w:bookmarkStart w:id="130" w:name="_Toc407035558"/>
      <w:r>
        <w:t xml:space="preserve">Při definování priorit rozvoje jaderné energetiky a pro definování reálných cílů rozvoje v jednotlivých oblastech je potřeba vycházet ze stavu, ve kterém </w:t>
      </w:r>
      <w:r w:rsidR="00347439">
        <w:t xml:space="preserve">se </w:t>
      </w:r>
      <w:r>
        <w:t>jaderná energetika v ČR nachází.</w:t>
      </w:r>
      <w:bookmarkEnd w:id="130"/>
    </w:p>
    <w:p w:rsidR="000B2F41" w:rsidRDefault="00DB6DBA" w:rsidP="006047CA">
      <w:pPr>
        <w:pStyle w:val="Nadpis2"/>
      </w:pPr>
      <w:bookmarkStart w:id="131" w:name="_Toc407035559"/>
      <w:bookmarkStart w:id="132" w:name="_Toc420056007"/>
      <w:r>
        <w:t xml:space="preserve">Provoz a životnost stávajících </w:t>
      </w:r>
      <w:r w:rsidR="00706B92">
        <w:t>jadern</w:t>
      </w:r>
      <w:r>
        <w:t>ých</w:t>
      </w:r>
      <w:r w:rsidR="00706B92">
        <w:t xml:space="preserve"> elektrár</w:t>
      </w:r>
      <w:r>
        <w:t>e</w:t>
      </w:r>
      <w:r w:rsidR="00706B92">
        <w:t>n</w:t>
      </w:r>
      <w:bookmarkEnd w:id="131"/>
      <w:bookmarkEnd w:id="132"/>
    </w:p>
    <w:p w:rsidR="00581B30" w:rsidRPr="00581B30" w:rsidRDefault="00581B30" w:rsidP="002E4520">
      <w:pPr>
        <w:pStyle w:val="Nadpis3"/>
      </w:pPr>
      <w:bookmarkStart w:id="133" w:name="_Toc420056008"/>
      <w:bookmarkStart w:id="134" w:name="_Toc407035560"/>
      <w:r>
        <w:t>Provoz a disponibilita</w:t>
      </w:r>
      <w:bookmarkEnd w:id="133"/>
      <w:r>
        <w:t xml:space="preserve"> </w:t>
      </w:r>
      <w:bookmarkEnd w:id="134"/>
    </w:p>
    <w:p w:rsidR="009C0853" w:rsidRPr="009C0853" w:rsidRDefault="009C0853" w:rsidP="009C0853">
      <w:pPr>
        <w:jc w:val="both"/>
      </w:pPr>
      <w:r w:rsidRPr="009C0853">
        <w:t>V současné době je v provozu v ČR 6 komerčních reaktorů (EDU 4×VVER</w:t>
      </w:r>
      <w:r w:rsidR="007F570D">
        <w:t xml:space="preserve"> </w:t>
      </w:r>
      <w:r w:rsidRPr="009C0853">
        <w:t>440</w:t>
      </w:r>
      <w:r w:rsidR="00535E63">
        <w:t xml:space="preserve"> typ V</w:t>
      </w:r>
      <w:r w:rsidR="007F570D">
        <w:t>-</w:t>
      </w:r>
      <w:r w:rsidR="00535E63">
        <w:t>213</w:t>
      </w:r>
      <w:r w:rsidRPr="009C0853">
        <w:t xml:space="preserve"> a ETE 2×VVER</w:t>
      </w:r>
      <w:r w:rsidR="007F570D">
        <w:t xml:space="preserve"> </w:t>
      </w:r>
      <w:r w:rsidRPr="009C0853">
        <w:t>1000</w:t>
      </w:r>
      <w:r w:rsidR="00535E63">
        <w:t xml:space="preserve"> typ V</w:t>
      </w:r>
      <w:r w:rsidR="007F570D">
        <w:t>-</w:t>
      </w:r>
      <w:r w:rsidR="00535E63">
        <w:t>320</w:t>
      </w:r>
      <w:r w:rsidRPr="009C0853">
        <w:t>);</w:t>
      </w:r>
    </w:p>
    <w:p w:rsidR="009C0853" w:rsidRPr="009C0853" w:rsidRDefault="009C0853" w:rsidP="009C0853">
      <w:pPr>
        <w:jc w:val="both"/>
      </w:pPr>
      <w:r w:rsidRPr="009C0853">
        <w:t>Obě elektrárny přestavují rozhodující a stabilní zdroj elektrické energie v</w:t>
      </w:r>
      <w:r w:rsidR="00535E63">
        <w:t> </w:t>
      </w:r>
      <w:r w:rsidRPr="009C0853">
        <w:t>ČR</w:t>
      </w:r>
      <w:r w:rsidR="00535E63">
        <w:t xml:space="preserve"> s velmi dobrým</w:t>
      </w:r>
      <w:r w:rsidR="00F27BF3">
        <w:t>i</w:t>
      </w:r>
      <w:r w:rsidR="00535E63">
        <w:t xml:space="preserve"> schopnostmi a potenciálem spočívajícím</w:t>
      </w:r>
      <w:r w:rsidR="00F27BF3">
        <w:t>i</w:t>
      </w:r>
      <w:r w:rsidR="00535E63">
        <w:t xml:space="preserve"> i v dodávce certifikovaných podpůrných služeb (regulační energie)</w:t>
      </w:r>
      <w:r w:rsidRPr="009C0853">
        <w:t>.</w:t>
      </w:r>
      <w:r>
        <w:t xml:space="preserve"> </w:t>
      </w:r>
      <w:r w:rsidRPr="009C0853">
        <w:t xml:space="preserve">V roce 2013 přesáhla výroba u každé elektrárny 15 </w:t>
      </w:r>
      <w:proofErr w:type="spellStart"/>
      <w:r w:rsidRPr="009C0853">
        <w:t>TWh</w:t>
      </w:r>
      <w:proofErr w:type="spellEnd"/>
      <w:r>
        <w:t>,</w:t>
      </w:r>
      <w:r w:rsidRPr="009C0853">
        <w:t xml:space="preserve"> což činilo více než 35</w:t>
      </w:r>
      <w:r w:rsidR="006047CA">
        <w:t xml:space="preserve"> </w:t>
      </w:r>
      <w:r w:rsidRPr="009C0853">
        <w:t xml:space="preserve">% celkové výroby elektrické energie v ČR. ETE i EDU patří mezi nejlépe </w:t>
      </w:r>
      <w:r w:rsidR="00535E63" w:rsidRPr="009C0853">
        <w:t>provozovan</w:t>
      </w:r>
      <w:r w:rsidR="00535E63">
        <w:t>é</w:t>
      </w:r>
      <w:r w:rsidR="00535E63" w:rsidRPr="009C0853">
        <w:t xml:space="preserve"> </w:t>
      </w:r>
      <w:r w:rsidRPr="009C0853">
        <w:t>elektrárn</w:t>
      </w:r>
      <w:r w:rsidR="00535E63">
        <w:t>y</w:t>
      </w:r>
      <w:r w:rsidRPr="009C0853">
        <w:t xml:space="preserve"> ve světě dle kritérií WANO.</w:t>
      </w:r>
    </w:p>
    <w:p w:rsidR="009C0853" w:rsidRPr="009C0853" w:rsidRDefault="009C0853" w:rsidP="009C0853">
      <w:pPr>
        <w:jc w:val="both"/>
      </w:pPr>
      <w:r w:rsidRPr="009C0853">
        <w:t>Od doby uvedení do provozu se postupně zvyšuje průměrná pracovní disponibilita obou elektráren. Na EDU již přesáhla 90</w:t>
      </w:r>
      <w:r>
        <w:t xml:space="preserve"> %</w:t>
      </w:r>
      <w:r w:rsidRPr="009C0853">
        <w:t xml:space="preserve"> a na ETE 85</w:t>
      </w:r>
      <w:r>
        <w:t xml:space="preserve"> </w:t>
      </w:r>
      <w:r w:rsidRPr="009C0853">
        <w:t xml:space="preserve">%, což odpovídá obvyklým standardům tlakovodních elektráren PWR. </w:t>
      </w:r>
      <w:r w:rsidR="00535E63">
        <w:t>Velikost d</w:t>
      </w:r>
      <w:r w:rsidR="00535E63" w:rsidRPr="009C0853">
        <w:t>isponibilit</w:t>
      </w:r>
      <w:r w:rsidR="00535E63">
        <w:t>y</w:t>
      </w:r>
      <w:r w:rsidR="00535E63" w:rsidRPr="009C0853">
        <w:t xml:space="preserve"> </w:t>
      </w:r>
      <w:r w:rsidR="00535E63">
        <w:t>v</w:t>
      </w:r>
      <w:r w:rsidR="00535E63" w:rsidRPr="009C0853">
        <w:t>yplývá</w:t>
      </w:r>
      <w:r w:rsidR="006047CA">
        <w:t xml:space="preserve"> </w:t>
      </w:r>
      <w:r w:rsidRPr="009C0853">
        <w:t>z kampaňového charakteru provozu, kdy je nutné jednou za rok výrobní blok na několik týdnů odstavit, vyvézt z reaktoru ty palivové články, ve kterých byl štěpný izotop U235 prakticky již spotřebován („vyhořelé“ palivo), a nahradit je palivem čerstvým. Při této odstávce probíhá také generální údržba a opravy, proto je pak míra poruchovosti za provozu velmi malá.</w:t>
      </w:r>
    </w:p>
    <w:p w:rsidR="009C0853" w:rsidRPr="006047CA" w:rsidRDefault="009C0853" w:rsidP="00FB0D80">
      <w:pPr>
        <w:spacing w:after="0"/>
        <w:jc w:val="both"/>
      </w:pPr>
      <w:r w:rsidRPr="009C0853">
        <w:t xml:space="preserve">Obě </w:t>
      </w:r>
      <w:proofErr w:type="gramStart"/>
      <w:r w:rsidRPr="009C0853">
        <w:t>JE</w:t>
      </w:r>
      <w:proofErr w:type="gramEnd"/>
      <w:r w:rsidRPr="009C0853">
        <w:t xml:space="preserve"> jsou provozovány v základním zatížení, při</w:t>
      </w:r>
      <w:r w:rsidR="004752A5">
        <w:t>čemž</w:t>
      </w:r>
      <w:r w:rsidRPr="009C0853">
        <w:t xml:space="preserve"> poskytují soustavě některé podpůrné služby. Výhodnost provozu v základním zatížení je dána nízkými proměnnými náklady a současně relativně malým rozdílem ceny elektřiny ve špičkovém </w:t>
      </w:r>
      <w:r w:rsidR="00535E63">
        <w:t>a základním</w:t>
      </w:r>
      <w:r w:rsidR="00535E63" w:rsidRPr="009C0853">
        <w:t xml:space="preserve"> </w:t>
      </w:r>
      <w:r w:rsidRPr="009C0853">
        <w:t xml:space="preserve">pásmu. </w:t>
      </w:r>
      <w:r w:rsidR="00535E63">
        <w:t>V současné době je proto</w:t>
      </w:r>
      <w:r w:rsidRPr="009C0853">
        <w:t xml:space="preserve"> nevýhodné s jadernými bloky výkonově manévrovat</w:t>
      </w:r>
      <w:r w:rsidR="00535E63" w:rsidRPr="009C0853">
        <w:t>.</w:t>
      </w:r>
      <w:r w:rsidR="00535E63">
        <w:t xml:space="preserve"> </w:t>
      </w:r>
      <w:r w:rsidR="00581B30">
        <w:t xml:space="preserve">V budoucnu se dá předpokládat </w:t>
      </w:r>
      <w:r w:rsidR="00535E63">
        <w:t xml:space="preserve">zvyšování požadavků přenosové soustavy na výkonovou flexibilitu jaderných zdrojů v souvislosti s předpokládaným růstem výroby z OZE. </w:t>
      </w:r>
      <w:r w:rsidR="00581B30">
        <w:t>V takovém případě dokáží j</w:t>
      </w:r>
      <w:r w:rsidR="00535E63">
        <w:t xml:space="preserve">aderné elektrárny nabídnout široké pásmo regulačního výkonu, a mohou </w:t>
      </w:r>
      <w:r w:rsidR="00581B30">
        <w:t>se proto, v případě významného navyšování podílu OZE,</w:t>
      </w:r>
      <w:r w:rsidR="00581B30" w:rsidDel="00581B30">
        <w:t xml:space="preserve"> </w:t>
      </w:r>
      <w:r w:rsidR="00581B30">
        <w:t xml:space="preserve">stát </w:t>
      </w:r>
      <w:r w:rsidR="00535E63">
        <w:t xml:space="preserve">významným  stabilizujícím prvkem energetické soustavy. Flexibilita moderních jaderných zdrojů je ještě vyšší než u současně provozovaných jaderných </w:t>
      </w:r>
      <w:r w:rsidR="00535E63" w:rsidRPr="006047CA">
        <w:t>zdrojů</w:t>
      </w:r>
      <w:r w:rsidR="004752A5">
        <w:t>,</w:t>
      </w:r>
      <w:r w:rsidR="00535E63" w:rsidRPr="006047CA">
        <w:t xml:space="preserve"> a jejich stabilizační role proto může být ještě významnější</w:t>
      </w:r>
      <w:r w:rsidR="0042190A">
        <w:t>.</w:t>
      </w:r>
      <w:r w:rsidR="00B564D2">
        <w:rPr>
          <w:rStyle w:val="Znakapoznpodarou"/>
        </w:rPr>
        <w:footnoteReference w:id="12"/>
      </w:r>
    </w:p>
    <w:p w:rsidR="00C223D0" w:rsidRDefault="00C223D0" w:rsidP="00C223D0">
      <w:pPr>
        <w:pStyle w:val="Titulek"/>
        <w:keepNext/>
        <w:jc w:val="both"/>
      </w:pPr>
      <w:bookmarkStart w:id="135" w:name="_Toc420058301"/>
      <w:r w:rsidRPr="00C223D0">
        <w:rPr>
          <w:bCs w:val="0"/>
          <w:color w:val="auto"/>
          <w:sz w:val="22"/>
          <w:szCs w:val="22"/>
        </w:rPr>
        <w:lastRenderedPageBreak/>
        <w:t xml:space="preserve">Graf č. </w:t>
      </w:r>
      <w:r w:rsidRPr="00C223D0">
        <w:rPr>
          <w:bCs w:val="0"/>
          <w:color w:val="auto"/>
          <w:sz w:val="22"/>
          <w:szCs w:val="22"/>
        </w:rPr>
        <w:fldChar w:fldCharType="begin"/>
      </w:r>
      <w:r w:rsidRPr="00C223D0">
        <w:rPr>
          <w:bCs w:val="0"/>
          <w:color w:val="auto"/>
          <w:sz w:val="22"/>
          <w:szCs w:val="22"/>
        </w:rPr>
        <w:instrText xml:space="preserve"> SEQ Graf_č. \* ARABIC </w:instrText>
      </w:r>
      <w:r w:rsidRPr="00C223D0">
        <w:rPr>
          <w:bCs w:val="0"/>
          <w:color w:val="auto"/>
          <w:sz w:val="22"/>
          <w:szCs w:val="22"/>
        </w:rPr>
        <w:fldChar w:fldCharType="separate"/>
      </w:r>
      <w:r w:rsidR="00471F02">
        <w:rPr>
          <w:bCs w:val="0"/>
          <w:noProof/>
          <w:color w:val="auto"/>
          <w:sz w:val="22"/>
          <w:szCs w:val="22"/>
        </w:rPr>
        <w:t>3</w:t>
      </w:r>
      <w:r w:rsidRPr="00C223D0">
        <w:rPr>
          <w:bCs w:val="0"/>
          <w:color w:val="auto"/>
          <w:sz w:val="22"/>
          <w:szCs w:val="22"/>
        </w:rPr>
        <w:fldChar w:fldCharType="end"/>
      </w:r>
      <w:r w:rsidRPr="00C223D0">
        <w:rPr>
          <w:bCs w:val="0"/>
          <w:color w:val="auto"/>
          <w:sz w:val="22"/>
          <w:szCs w:val="22"/>
        </w:rPr>
        <w:t>:</w:t>
      </w:r>
      <w:r w:rsidRPr="00C223D0">
        <w:rPr>
          <w:b w:val="0"/>
          <w:bCs w:val="0"/>
          <w:color w:val="auto"/>
          <w:sz w:val="22"/>
          <w:szCs w:val="22"/>
        </w:rPr>
        <w:t xml:space="preserve"> </w:t>
      </w:r>
      <w:r w:rsidRPr="006047CA">
        <w:rPr>
          <w:b w:val="0"/>
          <w:i/>
          <w:color w:val="auto"/>
          <w:sz w:val="24"/>
          <w:szCs w:val="24"/>
        </w:rPr>
        <w:t>Srovnání disponibility ETE a EDU se světem</w:t>
      </w:r>
      <w:bookmarkEnd w:id="135"/>
    </w:p>
    <w:p w:rsidR="00535E63" w:rsidRDefault="00535E63" w:rsidP="00535E63">
      <w:pPr>
        <w:jc w:val="both"/>
      </w:pPr>
      <w:r>
        <w:rPr>
          <w:noProof/>
          <w:lang w:eastAsia="cs-CZ"/>
        </w:rPr>
        <w:drawing>
          <wp:inline distT="0" distB="0" distL="0" distR="0" wp14:anchorId="0D9284B1" wp14:editId="48F92B61">
            <wp:extent cx="5760720" cy="3389779"/>
            <wp:effectExtent l="0" t="0" r="0" b="1270"/>
            <wp:docPr id="7199" name="Graf 7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6DC3" w:rsidRDefault="006047CA" w:rsidP="006047CA">
      <w:pPr>
        <w:jc w:val="right"/>
      </w:pPr>
      <w:r>
        <w:t>Zdroj: ČEZ, a.s.</w:t>
      </w:r>
    </w:p>
    <w:p w:rsidR="000064B2" w:rsidRPr="006047CA" w:rsidRDefault="000064B2" w:rsidP="00347439">
      <w:pPr>
        <w:pStyle w:val="Nadpis3"/>
        <w:keepNext w:val="0"/>
        <w:keepLines w:val="0"/>
      </w:pPr>
      <w:bookmarkStart w:id="136" w:name="_Toc407035561"/>
      <w:bookmarkStart w:id="137" w:name="_Toc420056009"/>
      <w:r w:rsidRPr="006047CA">
        <w:t xml:space="preserve">Stáří a stav JE, předpokládaný další provoz a </w:t>
      </w:r>
      <w:r w:rsidR="00301378" w:rsidRPr="006047CA">
        <w:t>plán</w:t>
      </w:r>
      <w:r w:rsidR="006047CA">
        <w:t xml:space="preserve"> dožití</w:t>
      </w:r>
      <w:bookmarkEnd w:id="136"/>
      <w:bookmarkEnd w:id="137"/>
      <w:r w:rsidR="001D4370" w:rsidRPr="006047CA">
        <w:t xml:space="preserve"> </w:t>
      </w:r>
    </w:p>
    <w:p w:rsidR="009C0853" w:rsidRPr="009C0853" w:rsidRDefault="009C0853" w:rsidP="009C0853">
      <w:pPr>
        <w:jc w:val="both"/>
      </w:pPr>
      <w:r w:rsidRPr="009C0853">
        <w:t>Čtyři bloky EDU byly postupně uvedeny do provozu v letech 1985-87 s projektovou životností 30 let, dva bloky ETE byly uvedeny do provozu v letech 2000 a 2002 rovněž s projektovou životností 30 let (budovy 40 let).</w:t>
      </w:r>
    </w:p>
    <w:p w:rsidR="009C0853" w:rsidRPr="009C0853" w:rsidRDefault="009C0853" w:rsidP="009C0853">
      <w:pPr>
        <w:pStyle w:val="Odstavecseseznamem"/>
        <w:ind w:left="0"/>
        <w:jc w:val="both"/>
      </w:pPr>
      <w:r w:rsidRPr="009C0853">
        <w:t xml:space="preserve">Na základě dobrých provozních zkušeností bylo možné u obou elektráren přistoupit k čerpání jejich projektových technických rezerv a k využití pokročilejších technických řešení komponent. Původní elektrický výkon </w:t>
      </w:r>
      <w:r w:rsidR="00535E63">
        <w:t xml:space="preserve">každého reaktorového </w:t>
      </w:r>
      <w:r w:rsidR="00535E63" w:rsidRPr="009C0853">
        <w:t>bloku EDU činil 440</w:t>
      </w:r>
      <w:r w:rsidR="00F24A7E">
        <w:t xml:space="preserve"> </w:t>
      </w:r>
      <w:r w:rsidR="00535E63" w:rsidRPr="009C0853">
        <w:t>MW, v současnosti je to u každého 5</w:t>
      </w:r>
      <w:r w:rsidR="00535E63">
        <w:t>0</w:t>
      </w:r>
      <w:r w:rsidR="00535E63" w:rsidRPr="009C0853">
        <w:t>0</w:t>
      </w:r>
      <w:r w:rsidR="00F24A7E">
        <w:t xml:space="preserve"> </w:t>
      </w:r>
      <w:r w:rsidR="00535E63" w:rsidRPr="009C0853">
        <w:t xml:space="preserve">MW. Původní </w:t>
      </w:r>
      <w:r w:rsidR="00535E63">
        <w:t xml:space="preserve">elektrický </w:t>
      </w:r>
      <w:r w:rsidR="00535E63" w:rsidRPr="009C0853">
        <w:t xml:space="preserve">výkon </w:t>
      </w:r>
      <w:r w:rsidR="00535E63">
        <w:t xml:space="preserve">každého reaktorového </w:t>
      </w:r>
      <w:r w:rsidR="00535E63" w:rsidRPr="009C0853">
        <w:t>bloku ETE 981</w:t>
      </w:r>
      <w:r w:rsidR="00F24A7E">
        <w:t xml:space="preserve"> </w:t>
      </w:r>
      <w:r w:rsidR="00535E63" w:rsidRPr="009C0853">
        <w:t>MW byl zvýšen na 1080</w:t>
      </w:r>
      <w:r w:rsidR="00F24A7E">
        <w:t xml:space="preserve"> </w:t>
      </w:r>
      <w:r w:rsidR="00535E63" w:rsidRPr="009C0853">
        <w:t xml:space="preserve">MW (v r. 2014 u jednoho bloku, druhý bude takto modernizován při pravidelné odstávce v r. 2015). </w:t>
      </w:r>
      <w:r w:rsidR="00535E63">
        <w:t xml:space="preserve">V dalších letech provozování bloků EDU i ETE se stále počítá s realizací druhé etapy čerpání projektových rezerv a tedy </w:t>
      </w:r>
      <w:r w:rsidR="00347439">
        <w:t xml:space="preserve">s </w:t>
      </w:r>
      <w:r w:rsidR="00535E63">
        <w:t>dalším navýšení</w:t>
      </w:r>
      <w:r w:rsidR="00347439">
        <w:t>m</w:t>
      </w:r>
      <w:r w:rsidR="00535E63">
        <w:t xml:space="preserve"> jejich elektrického výkonu bez negativního vlivu na čerpání jejich životnosti.</w:t>
      </w:r>
    </w:p>
    <w:p w:rsidR="00FB0D80" w:rsidRDefault="00347439" w:rsidP="009C0853">
      <w:pPr>
        <w:jc w:val="both"/>
      </w:pPr>
      <w:r>
        <w:t>P</w:t>
      </w:r>
      <w:r w:rsidR="009C0853" w:rsidRPr="009C0853">
        <w:t xml:space="preserve">ravidelné hodnocení bezpečnosti </w:t>
      </w:r>
      <w:r>
        <w:t xml:space="preserve">probíhá </w:t>
      </w:r>
      <w:r w:rsidR="009C0853" w:rsidRPr="009C0853">
        <w:t>po 10 letech (</w:t>
      </w:r>
      <w:proofErr w:type="spellStart"/>
      <w:r w:rsidR="009C0853" w:rsidRPr="00C223D0">
        <w:rPr>
          <w:i/>
        </w:rPr>
        <w:t>periodic</w:t>
      </w:r>
      <w:proofErr w:type="spellEnd"/>
      <w:r w:rsidR="009C0853" w:rsidRPr="00C223D0">
        <w:rPr>
          <w:i/>
        </w:rPr>
        <w:t xml:space="preserve"> </w:t>
      </w:r>
      <w:proofErr w:type="spellStart"/>
      <w:r w:rsidR="009C0853" w:rsidRPr="00C223D0">
        <w:rPr>
          <w:i/>
        </w:rPr>
        <w:t>safety</w:t>
      </w:r>
      <w:proofErr w:type="spellEnd"/>
      <w:r w:rsidR="009C0853" w:rsidRPr="00C223D0">
        <w:rPr>
          <w:i/>
        </w:rPr>
        <w:t xml:space="preserve"> </w:t>
      </w:r>
      <w:proofErr w:type="spellStart"/>
      <w:r w:rsidR="009C0853" w:rsidRPr="00C223D0">
        <w:rPr>
          <w:i/>
        </w:rPr>
        <w:t>review</w:t>
      </w:r>
      <w:proofErr w:type="spellEnd"/>
      <w:r w:rsidR="009C0853" w:rsidRPr="009C0853">
        <w:t>), na základě kterého uděluje SÚJB povolení k dalšímu provozu. Původní projektová životnost elektráren EDU a ETE je 30 let a ČEZ zajišťuje opatření</w:t>
      </w:r>
      <w:r w:rsidR="009C0853">
        <w:t>,</w:t>
      </w:r>
      <w:r w:rsidR="009C0853" w:rsidRPr="009C0853">
        <w:t xml:space="preserve"> aby EDU i ETE mohly být bezpečně provozovány i dále. Ve světě dochází k prodlužování životnosti </w:t>
      </w:r>
      <w:r w:rsidR="00535E63">
        <w:t xml:space="preserve">až </w:t>
      </w:r>
      <w:r w:rsidR="00535E63" w:rsidRPr="009C0853">
        <w:t>na 60</w:t>
      </w:r>
      <w:r w:rsidR="00535E63">
        <w:t xml:space="preserve"> (USA), u elektráren v EU plánují elektrárenské společnosti max. na 50 let.</w:t>
      </w:r>
    </w:p>
    <w:p w:rsidR="00FB0D80" w:rsidRDefault="00FB0D80">
      <w:r>
        <w:br w:type="page"/>
      </w:r>
    </w:p>
    <w:p w:rsidR="009C0853" w:rsidRPr="009C0853" w:rsidRDefault="009C0853" w:rsidP="009C0853">
      <w:pPr>
        <w:jc w:val="both"/>
      </w:pPr>
      <w:r w:rsidRPr="009C0853">
        <w:lastRenderedPageBreak/>
        <w:t>EDU i ETE</w:t>
      </w:r>
      <w:r>
        <w:t xml:space="preserve"> jsou průběžně modernizovány.</w:t>
      </w:r>
      <w:r w:rsidRPr="009C0853">
        <w:t xml:space="preserve"> Design obou elektráren splňuje bezpečnostní požadavky stanovené příslušným orgánem státní správy ČR, který přitom dbá na soulad s nejlepší světovou praxí. </w:t>
      </w:r>
      <w:r w:rsidR="00C30FF3">
        <w:t xml:space="preserve">Za současného stavu odborných znalostí se nepředpokládá takové </w:t>
      </w:r>
      <w:r w:rsidRPr="009C0853">
        <w:t xml:space="preserve">budoucí zpřísnění </w:t>
      </w:r>
      <w:r w:rsidR="00C30FF3">
        <w:t>bezpečnostních</w:t>
      </w:r>
      <w:r w:rsidR="00C30FF3" w:rsidRPr="009C0853">
        <w:t xml:space="preserve"> </w:t>
      </w:r>
      <w:r w:rsidRPr="009C0853">
        <w:t xml:space="preserve">požadavků, </w:t>
      </w:r>
      <w:r w:rsidR="00FA4C3C">
        <w:t>za kterých</w:t>
      </w:r>
      <w:r w:rsidR="00C30FF3" w:rsidRPr="009C0853">
        <w:t xml:space="preserve"> </w:t>
      </w:r>
      <w:r w:rsidRPr="009C0853">
        <w:t xml:space="preserve">by je nebylo technicky možné nebo ekonomicky přijatelné </w:t>
      </w:r>
      <w:r w:rsidR="00C30FF3">
        <w:t xml:space="preserve">investičně realizovat </w:t>
      </w:r>
      <w:r w:rsidRPr="009C0853">
        <w:t xml:space="preserve">u nynější EDU a ETE. </w:t>
      </w:r>
      <w:r w:rsidR="00C30FF3">
        <w:t>Rovněž p</w:t>
      </w:r>
      <w:r w:rsidRPr="009C0853">
        <w:t>olitická situace v ČR je dlouhodobě k jaderné energetice v rozhodující míře příznivá</w:t>
      </w:r>
      <w:r w:rsidR="00C30FF3">
        <w:t>, a p</w:t>
      </w:r>
      <w:r w:rsidRPr="009C0853">
        <w:t>roto je životnost ETE a EDU vymezena běžným stárnutím zařízení a náklady na jeho obnovu. Rentabilitu udržení provozuschopnosti EDU k horizontu r. 2035, popř. 2045 ČEZ aktuálně posuzuje.</w:t>
      </w:r>
      <w:r w:rsidR="007E2007">
        <w:t xml:space="preserve"> Dále je nutné uvést, že v případě obou stávajících tuzemských jaderných elektráren existuje možnost využití odpadního tepla z výroby pro zásobování teplem</w:t>
      </w:r>
      <w:r w:rsidR="008C199D">
        <w:t xml:space="preserve"> měst</w:t>
      </w:r>
      <w:r w:rsidR="007E2007">
        <w:t xml:space="preserve"> Brna </w:t>
      </w:r>
      <w:r w:rsidR="008C199D">
        <w:t xml:space="preserve">případně Českých Budějovic. Využití tohoto tepla by vedlo k snížení potřeby primárních energetických zdrojů. Vybudování potřebných horkovodů/parovodů je však spojeno s některými především </w:t>
      </w:r>
      <w:proofErr w:type="spellStart"/>
      <w:r w:rsidR="008C199D">
        <w:t>socio</w:t>
      </w:r>
      <w:proofErr w:type="spellEnd"/>
      <w:r w:rsidR="008C199D">
        <w:t xml:space="preserve">-ekonomickými bariérami. </w:t>
      </w:r>
    </w:p>
    <w:p w:rsidR="00535E63" w:rsidRPr="000B2CCA" w:rsidRDefault="00347439" w:rsidP="00535E63">
      <w:pPr>
        <w:jc w:val="both"/>
      </w:pPr>
      <w:r w:rsidRPr="00347439">
        <w:t xml:space="preserve">V návaznosti na možnosti prodloužení životnosti </w:t>
      </w:r>
      <w:r>
        <w:t xml:space="preserve">jaderných </w:t>
      </w:r>
      <w:r w:rsidRPr="00347439">
        <w:t xml:space="preserve">elektráren </w:t>
      </w:r>
      <w:r>
        <w:t>b</w:t>
      </w:r>
      <w:r w:rsidR="00535E63" w:rsidRPr="009C0853">
        <w:t xml:space="preserve">yla zpracována variantní technickoekonomická studie řešící technické, bezpečnostní a ekonomické aspekty prodloužení provozu </w:t>
      </w:r>
      <w:r w:rsidR="00535E63">
        <w:t xml:space="preserve">bloků EDU za původní projektovou </w:t>
      </w:r>
      <w:r w:rsidR="00535E63" w:rsidRPr="000B2CCA">
        <w:t>mez v alternativách +10, +20 a +30</w:t>
      </w:r>
      <w:r w:rsidR="00FA4C3C" w:rsidRPr="000B2CCA">
        <w:t xml:space="preserve"> </w:t>
      </w:r>
      <w:r w:rsidR="00535E63" w:rsidRPr="000B2CCA">
        <w:t>let, která se průběžně aktualizuje. V rámci těchto aktivit probíhá zpracování dokumentace průkazů čerpání životnosti a hodnotících zpráv pro systémy, stavby, konstrukce a komponenty v souladu s příslušným Bezpečnostním návodem SÚJB. Výstupy těchto odborných činností jsou s</w:t>
      </w:r>
      <w:r w:rsidR="00F24A7E">
        <w:t>e</w:t>
      </w:r>
      <w:r w:rsidR="00535E63" w:rsidRPr="000B2CCA">
        <w:t xml:space="preserve"> SÚJB průběžně konzultovány. Na podzim roku </w:t>
      </w:r>
      <w:r w:rsidR="00C30FF3" w:rsidRPr="000B2CCA">
        <w:t xml:space="preserve">2015 </w:t>
      </w:r>
      <w:r w:rsidR="00535E63" w:rsidRPr="000B2CCA">
        <w:t>bude SÚJB předložena kompletní dokumentace formou tzv. „Souhrnného průkazu připravenosti zařízení a personálu“, který bude součástí žádosti o povolení dalšího provozu I. bloku EDU do roku 2025 (</w:t>
      </w:r>
      <w:r w:rsidR="008E05E4">
        <w:t xml:space="preserve">Long Term </w:t>
      </w:r>
      <w:proofErr w:type="spellStart"/>
      <w:r w:rsidR="008E05E4">
        <w:t>Operation</w:t>
      </w:r>
      <w:proofErr w:type="spellEnd"/>
      <w:r w:rsidR="008E05E4">
        <w:t xml:space="preserve"> </w:t>
      </w:r>
      <w:r w:rsidR="008E05E4" w:rsidRPr="00E21E21">
        <w:t>–</w:t>
      </w:r>
      <w:r w:rsidR="008E05E4">
        <w:t xml:space="preserve"> </w:t>
      </w:r>
      <w:r w:rsidR="00535E63" w:rsidRPr="000B2CCA">
        <w:t>LTO +10 let). Obdobným způsobem bude postupováno i u zbývajících tř</w:t>
      </w:r>
      <w:r w:rsidR="004752A5">
        <w:t>í</w:t>
      </w:r>
      <w:r w:rsidR="00535E63" w:rsidRPr="000B2CCA">
        <w:t xml:space="preserve"> bloků s cílem zajistit prodloužení provozu EDU pro další období do 2026 (II. blok) – 2027 (III. a IV. blok).</w:t>
      </w:r>
    </w:p>
    <w:p w:rsidR="00FB0D80" w:rsidRDefault="009C0853" w:rsidP="009C0853">
      <w:pPr>
        <w:jc w:val="both"/>
      </w:pPr>
      <w:r w:rsidRPr="000B2CCA">
        <w:t xml:space="preserve">V reakci na havárii jaderné elektrárny </w:t>
      </w:r>
      <w:proofErr w:type="spellStart"/>
      <w:r w:rsidRPr="000B2CCA">
        <w:t>Fukushima</w:t>
      </w:r>
      <w:proofErr w:type="spellEnd"/>
      <w:r w:rsidRPr="000B2CCA">
        <w:t xml:space="preserve"> byly provedeny zátěžové zkoušky EDU a ETE</w:t>
      </w:r>
      <w:r w:rsidR="004752A5">
        <w:t>,</w:t>
      </w:r>
      <w:r w:rsidRPr="000B2CCA">
        <w:t xml:space="preserve"> jejichž cílem bylo posoudit odolnost stávajících projektů jaderných elektráren z pohledu extrémních vnějších vlivů, zejména jejich odolnost vůči </w:t>
      </w:r>
      <w:proofErr w:type="spellStart"/>
      <w:r w:rsidRPr="000B2CCA">
        <w:t>nadprojektovým</w:t>
      </w:r>
      <w:proofErr w:type="spellEnd"/>
      <w:r w:rsidRPr="000B2CCA">
        <w:t xml:space="preserve"> zemětřesením, záplavám a extrémním klimatickým podmínkám vedoucím k ztrátě koncového jímače tepla, úplné ztrátě elektrického napájení nebo jejich kombinaci. Národní zpráv</w:t>
      </w:r>
      <w:r w:rsidR="00535E63" w:rsidRPr="000B2CCA">
        <w:t>a</w:t>
      </w:r>
      <w:r w:rsidRPr="000B2CCA">
        <w:t xml:space="preserve"> o zátěžových zkouškách EDU a ETE vyústila do závěru, že projektová východiska, která byla </w:t>
      </w:r>
      <w:r w:rsidR="00347439">
        <w:t>zahrnuta</w:t>
      </w:r>
      <w:r w:rsidRPr="000B2CCA">
        <w:t xml:space="preserve"> </w:t>
      </w:r>
      <w:r w:rsidR="00625F08" w:rsidRPr="000B2CCA">
        <w:t xml:space="preserve">do </w:t>
      </w:r>
      <w:r w:rsidR="00535E63" w:rsidRPr="000B2CCA">
        <w:t xml:space="preserve">návrhu </w:t>
      </w:r>
      <w:r w:rsidRPr="000B2CCA">
        <w:t>konstrukčního řešení obou jaderných elektráren, jsou v souladu s platnou jadernou legislativou ČR a disponují dostatečnými rezervami vůči analyzovaným</w:t>
      </w:r>
      <w:r w:rsidR="004752A5">
        <w:t>,</w:t>
      </w:r>
      <w:r w:rsidRPr="000B2CCA">
        <w:t xml:space="preserve"> velmi nepravděpodobným</w:t>
      </w:r>
      <w:r w:rsidR="004752A5">
        <w:t>,</w:t>
      </w:r>
      <w:r w:rsidRPr="000B2CCA">
        <w:t xml:space="preserve"> extrémním jevům. Podrobné analýzy chování jaderných elektráren v těchto extrémních podmínkách současně umožnily navrhnout řadu konkrétních technických a administrativních doporučení k dalšímu posílení jejich robustnosti. Pro obě jad</w:t>
      </w:r>
      <w:r w:rsidRPr="009C0853">
        <w:t>erné elektrárny Dukovany i Temelín byl zpr</w:t>
      </w:r>
      <w:r w:rsidR="00E21E21">
        <w:t xml:space="preserve">acován </w:t>
      </w:r>
      <w:r w:rsidRPr="009C0853">
        <w:t xml:space="preserve">tzv. Program zvyšování bezpečnosti. Tento akční plán představuje kompletní sadu opatření pro posílení bezpečnosti českých jaderných elektráren v reakci na havárii v jaderné elektrárně </w:t>
      </w:r>
      <w:proofErr w:type="spellStart"/>
      <w:r w:rsidRPr="009C0853">
        <w:t>Fukushima</w:t>
      </w:r>
      <w:proofErr w:type="spellEnd"/>
      <w:r w:rsidRPr="009C0853">
        <w:t>, jejichž realizace probíhá a velká část z nich již byla ukončena.</w:t>
      </w:r>
    </w:p>
    <w:p w:rsidR="00FB0D80" w:rsidRDefault="00FB0D80">
      <w:r>
        <w:br w:type="page"/>
      </w:r>
    </w:p>
    <w:p w:rsidR="00306DC3" w:rsidRPr="00DD05E2" w:rsidRDefault="00535E63" w:rsidP="009C0853">
      <w:pPr>
        <w:jc w:val="both"/>
      </w:pPr>
      <w:r w:rsidRPr="00DD05E2">
        <w:lastRenderedPageBreak/>
        <w:t xml:space="preserve">Dlouhodobým záměrem </w:t>
      </w:r>
      <w:r w:rsidR="00306DC3" w:rsidRPr="00DD05E2">
        <w:t xml:space="preserve">je udržet provoz Jaderné elektrárny Dukovany </w:t>
      </w:r>
      <w:r w:rsidR="00765ACE" w:rsidRPr="00DD05E2">
        <w:t xml:space="preserve">minimálně </w:t>
      </w:r>
      <w:r w:rsidR="00306DC3" w:rsidRPr="00DD05E2">
        <w:t>do roku 2035 až 2037 – tedy provoz po dobu 50 let a poté jed</w:t>
      </w:r>
      <w:r w:rsidR="00C931E9" w:rsidRPr="00DD05E2">
        <w:t>notlivé bloky postupně odstavit</w:t>
      </w:r>
      <w:r w:rsidR="00306DC3" w:rsidRPr="00DD05E2">
        <w:t>.</w:t>
      </w:r>
      <w:r w:rsidR="00F927CE">
        <w:rPr>
          <w:rStyle w:val="Znakapoznpodarou"/>
        </w:rPr>
        <w:footnoteReference w:id="13"/>
      </w:r>
      <w:r w:rsidR="00306DC3" w:rsidRPr="00DD05E2">
        <w:t xml:space="preserve"> V případě, že by tomu nebránil stav zařízení a současné b</w:t>
      </w:r>
      <w:r w:rsidR="00C931E9" w:rsidRPr="00DD05E2">
        <w:t>loky</w:t>
      </w:r>
      <w:r w:rsidR="00625F08" w:rsidRPr="00DD05E2">
        <w:t>,</w:t>
      </w:r>
      <w:r w:rsidR="00C931E9" w:rsidRPr="00DD05E2">
        <w:t xml:space="preserve"> či alespoň některé z</w:t>
      </w:r>
      <w:r w:rsidR="00625F08" w:rsidRPr="00DD05E2">
        <w:t> </w:t>
      </w:r>
      <w:r w:rsidR="00C931E9" w:rsidRPr="00DD05E2">
        <w:t>nich</w:t>
      </w:r>
      <w:r w:rsidR="00625F08" w:rsidRPr="00DD05E2">
        <w:t>,</w:t>
      </w:r>
      <w:r w:rsidR="00C931E9" w:rsidRPr="00DD05E2">
        <w:t xml:space="preserve"> </w:t>
      </w:r>
      <w:r w:rsidR="00306DC3" w:rsidRPr="00DD05E2">
        <w:t>v plném rozsahu s</w:t>
      </w:r>
      <w:r w:rsidRPr="00DD05E2">
        <w:t xml:space="preserve">plňovaly aktuální bezpečnostní a </w:t>
      </w:r>
      <w:r w:rsidR="00306DC3" w:rsidRPr="00DD05E2">
        <w:t xml:space="preserve">technické požadavky a bylo by to potřebné pro zajištění energetické bezpečnosti (například v případě zpoždění uvádění nového jaderného zdroje v lokalitě Dukovany </w:t>
      </w:r>
      <w:r w:rsidRPr="00DD05E2">
        <w:t xml:space="preserve">nebo Temelín </w:t>
      </w:r>
      <w:r w:rsidR="00306DC3" w:rsidRPr="00DD05E2">
        <w:t xml:space="preserve">do provozu), </w:t>
      </w:r>
      <w:r w:rsidR="00765ACE" w:rsidRPr="00DD05E2">
        <w:t xml:space="preserve">bude vhodné z pohledu státu usilovat </w:t>
      </w:r>
      <w:r w:rsidR="00306DC3" w:rsidRPr="00DD05E2">
        <w:t>i o další prodloužení.</w:t>
      </w:r>
    </w:p>
    <w:p w:rsidR="00581B30" w:rsidRPr="00DD05E2" w:rsidRDefault="00581B30" w:rsidP="009C0853">
      <w:pPr>
        <w:jc w:val="both"/>
      </w:pPr>
      <w:r w:rsidRPr="00DD05E2">
        <w:t xml:space="preserve">V případě Jaderné elektrárny Temelín je dlouhodobým záměrem dosáhnout celkové délky provozu elektrárny po dobu 60 let, tj. do roku 2060 </w:t>
      </w:r>
      <w:r w:rsidR="004A035F">
        <w:t>(blok 1), resp. 2062 (blok 2).</w:t>
      </w:r>
    </w:p>
    <w:p w:rsidR="00306DC3" w:rsidRDefault="00306DC3" w:rsidP="009C0853">
      <w:pPr>
        <w:jc w:val="both"/>
      </w:pPr>
      <w:r w:rsidRPr="00DD05E2">
        <w:t xml:space="preserve">Po odstavení stávajících bloků bude </w:t>
      </w:r>
      <w:r w:rsidR="007C2EF8" w:rsidRPr="00DD05E2">
        <w:t xml:space="preserve">v souladu se schváleným plánem vyřazení </w:t>
      </w:r>
      <w:r w:rsidRPr="00DD05E2">
        <w:t>po několikaleté přestávce přist</w:t>
      </w:r>
      <w:r w:rsidR="00AE2E6B" w:rsidRPr="00DD05E2">
        <w:t>oupeno k likvidaci těchto bloků</w:t>
      </w:r>
      <w:r w:rsidR="00535E63" w:rsidRPr="00DD05E2">
        <w:t>.</w:t>
      </w:r>
      <w:r w:rsidR="000C3D7B" w:rsidRPr="00DD05E2">
        <w:t xml:space="preserve"> </w:t>
      </w:r>
      <w:r w:rsidRPr="00DD05E2">
        <w:t>Za likvidaci bude pod státním dozorem odpovědný provozovatel zařízení. Radioaktivní odpad převezme státní autorita odpovědn</w:t>
      </w:r>
      <w:r w:rsidR="004A035F">
        <w:t>á za ukládání RAO (dnes SÚRAO).</w:t>
      </w:r>
    </w:p>
    <w:p w:rsidR="00DB6DBA" w:rsidRPr="00C223D0" w:rsidRDefault="00DB6DBA" w:rsidP="00C223D0">
      <w:pPr>
        <w:pStyle w:val="Nadpis2"/>
      </w:pPr>
      <w:bookmarkStart w:id="138" w:name="_Toc407035562"/>
      <w:bookmarkStart w:id="139" w:name="_Toc420056010"/>
      <w:r w:rsidRPr="00C223D0">
        <w:t xml:space="preserve">Možnosti výstavby NJZ - připravenost </w:t>
      </w:r>
      <w:r w:rsidR="00F153A8" w:rsidRPr="00C223D0">
        <w:t xml:space="preserve">a limity současných jaderných </w:t>
      </w:r>
      <w:r w:rsidRPr="00C223D0">
        <w:t>lokalit</w:t>
      </w:r>
      <w:r w:rsidR="00F153A8" w:rsidRPr="00C223D0">
        <w:t xml:space="preserve"> v ČR</w:t>
      </w:r>
      <w:bookmarkEnd w:id="138"/>
      <w:bookmarkEnd w:id="139"/>
    </w:p>
    <w:p w:rsidR="00F153A8" w:rsidRDefault="00F153A8" w:rsidP="00AD4A36">
      <w:pPr>
        <w:pStyle w:val="Nadpis3"/>
      </w:pPr>
      <w:bookmarkStart w:id="140" w:name="_Toc407035563"/>
      <w:bookmarkStart w:id="141" w:name="_Toc420056011"/>
      <w:bookmarkStart w:id="142" w:name="_Toc396474030"/>
      <w:bookmarkStart w:id="143" w:name="_Toc399759577"/>
      <w:r>
        <w:t>Lokalita Temelín</w:t>
      </w:r>
      <w:bookmarkEnd w:id="140"/>
      <w:bookmarkEnd w:id="141"/>
    </w:p>
    <w:p w:rsidR="00F153A8" w:rsidRPr="00CB6E1C" w:rsidRDefault="00F153A8" w:rsidP="0044189F">
      <w:pPr>
        <w:pStyle w:val="Odstavecseseznamem"/>
        <w:numPr>
          <w:ilvl w:val="0"/>
          <w:numId w:val="87"/>
        </w:numPr>
        <w:ind w:left="426"/>
      </w:pPr>
      <w:bookmarkStart w:id="144" w:name="_Toc400198513"/>
      <w:bookmarkStart w:id="145" w:name="_Toc400623722"/>
      <w:bookmarkStart w:id="146" w:name="_Toc401162678"/>
      <w:bookmarkStart w:id="147" w:name="_Toc401218934"/>
      <w:bookmarkStart w:id="148" w:name="_Toc401761655"/>
      <w:bookmarkStart w:id="149" w:name="_Toc402949141"/>
      <w:bookmarkStart w:id="150" w:name="_Toc407035564"/>
      <w:bookmarkStart w:id="151" w:name="_Toc408743881"/>
      <w:bookmarkStart w:id="152" w:name="_Toc408844809"/>
      <w:bookmarkStart w:id="153" w:name="_Toc400198514"/>
      <w:bookmarkStart w:id="154" w:name="_Toc400623723"/>
      <w:bookmarkStart w:id="155" w:name="_Toc401162679"/>
      <w:bookmarkStart w:id="156" w:name="_Toc401218935"/>
      <w:bookmarkStart w:id="157" w:name="_Toc401761656"/>
      <w:bookmarkStart w:id="158" w:name="_Toc402949142"/>
      <w:bookmarkStart w:id="159" w:name="_Toc407035565"/>
      <w:bookmarkStart w:id="160" w:name="_Toc408743882"/>
      <w:bookmarkStart w:id="161" w:name="_Toc408844810"/>
      <w:bookmarkStart w:id="162" w:name="_Toc402949143"/>
      <w:bookmarkStart w:id="163" w:name="_Toc40703556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D4A36">
        <w:rPr>
          <w:b/>
        </w:rPr>
        <w:t>Informace o lokalitě</w:t>
      </w:r>
      <w:bookmarkEnd w:id="162"/>
      <w:bookmarkEnd w:id="163"/>
    </w:p>
    <w:p w:rsidR="00F153A8" w:rsidRPr="00D76D50" w:rsidRDefault="00F153A8" w:rsidP="00253CC9">
      <w:pPr>
        <w:jc w:val="both"/>
        <w:rPr>
          <w:rFonts w:cs="Arial"/>
        </w:rPr>
      </w:pPr>
      <w:r w:rsidRPr="00D76D50">
        <w:rPr>
          <w:rFonts w:cs="Arial"/>
        </w:rPr>
        <w:t xml:space="preserve">Lokalita Temelín se nachází v blízkosti města Týn nad Vltavou a obce Temelín. Současný areál JE Temelín leží zejména na katastrálním území </w:t>
      </w:r>
      <w:r w:rsidR="00253CC9">
        <w:rPr>
          <w:rFonts w:cs="Arial"/>
        </w:rPr>
        <w:t xml:space="preserve">obcí </w:t>
      </w:r>
      <w:r w:rsidRPr="00D76D50">
        <w:rPr>
          <w:rFonts w:cs="Arial"/>
        </w:rPr>
        <w:t xml:space="preserve">Křtěnov, Březí u Týna nad Vltavou a </w:t>
      </w:r>
      <w:proofErr w:type="spellStart"/>
      <w:r w:rsidRPr="00D76D50">
        <w:rPr>
          <w:rFonts w:cs="Arial"/>
        </w:rPr>
        <w:t>Temelínec</w:t>
      </w:r>
      <w:proofErr w:type="spellEnd"/>
      <w:r w:rsidRPr="00D76D50">
        <w:rPr>
          <w:rFonts w:cs="Arial"/>
        </w:rPr>
        <w:t xml:space="preserve"> a patří do sprá</w:t>
      </w:r>
      <w:r w:rsidR="004A035F">
        <w:rPr>
          <w:rFonts w:cs="Arial"/>
        </w:rPr>
        <w:t>vního obvodu Jihočeského kraje.</w:t>
      </w:r>
    </w:p>
    <w:p w:rsidR="00F153A8" w:rsidRPr="00D76D50" w:rsidRDefault="00F153A8" w:rsidP="00253CC9">
      <w:pPr>
        <w:jc w:val="both"/>
        <w:rPr>
          <w:rFonts w:cs="Arial"/>
        </w:rPr>
      </w:pPr>
      <w:r w:rsidRPr="00D76D50">
        <w:rPr>
          <w:rFonts w:cs="Arial"/>
        </w:rPr>
        <w:t>Výstavba elektrárny Temelín byla zahájena v roce 1987 v rozsahu 4 bloků po 1000 MW. V roce 1990 byla zastavena výstavba bloků 3 a 4 a pozastavena výstavba bloků 1 a 2. V roce 1993 rozhodla Vláda ČR o dostavbě bloků 1 a 2, a ty byly v letech 2001 a 2002 spuštěny.</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Optimální lokalita pro výstavbu jaderné elektrárny</w:t>
      </w:r>
      <w:r w:rsidRPr="00D76D50">
        <w:rPr>
          <w:rFonts w:cs="Arial"/>
        </w:rPr>
        <w:t xml:space="preserve"> - výběr lokality jaderné elektrárny Temelín byl proveden tak, aby byly minimalizovány možné negativní interakce s okolím. Meteorologické, hydrologické, geologické a hydrogeologické požadavky nekladou na projekt a provedení stavby nadstandardní požadavky. Lokalita je detailně prozkoumaná.</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 xml:space="preserve">Lokalita má nezbytnou infrastrukturu pro jaderné bloky </w:t>
      </w:r>
      <w:r w:rsidRPr="00D76D50">
        <w:rPr>
          <w:rFonts w:cs="Arial"/>
        </w:rPr>
        <w:t>– je to prozkoumaná a vyzkoušená lokalita, se zásobou vody (přehrada), přívodními a odvodními řady, připojením do elektrické sítě, se znalým personálem a s vysokou podporou obyvatelstva.</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 xml:space="preserve">Lokalita a infrastruktura od začátku připravována pro výstavbu 4 bloků </w:t>
      </w:r>
      <w:r w:rsidRPr="00D76D50">
        <w:rPr>
          <w:rFonts w:cs="Arial"/>
        </w:rPr>
        <w:t>– koncepce lokality a infrastruktura velmi usnadňuje rozšíření stávající elektrárny o další 2 bloky.</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V lokalitě je možno umístit bez omezení 2 bloky NJZ o výkonu 1000 – 1700 MW.</w:t>
      </w:r>
      <w:r w:rsidRPr="00D76D50">
        <w:rPr>
          <w:rFonts w:cs="Arial"/>
        </w:rPr>
        <w:t xml:space="preserve"> </w:t>
      </w:r>
    </w:p>
    <w:p w:rsidR="00FB0D8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Pro všechny varianty výkonu je dostatek chladící vody</w:t>
      </w:r>
      <w:r w:rsidRPr="00D76D50">
        <w:rPr>
          <w:rFonts w:cs="Arial"/>
        </w:rPr>
        <w:t xml:space="preserve"> - výsledky studií k roku 2085, ukazují, že pro všechny varianty rozšířeného výkonu elektrárny (tj. celkově až 3400 MW nového výkonu) bude zajištěna dodávka chladicí vody. </w:t>
      </w:r>
    </w:p>
    <w:p w:rsidR="00FB0D80" w:rsidRDefault="00FB0D80">
      <w:pPr>
        <w:rPr>
          <w:rFonts w:cs="Arial"/>
        </w:rPr>
      </w:pPr>
      <w:r>
        <w:rPr>
          <w:rFonts w:cs="Arial"/>
        </w:rPr>
        <w:br w:type="page"/>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lastRenderedPageBreak/>
        <w:t>Je ověřena ekonomická dopravitelnost nadrozměrných a těžkých zařízení</w:t>
      </w:r>
      <w:r w:rsidRPr="00D76D50">
        <w:rPr>
          <w:rFonts w:cs="Arial"/>
        </w:rPr>
        <w:t xml:space="preserve"> – na základě studií byla jako nejvhodnější zvolena tzv. kombinovaná doprava využívající vodní přepravu s krátkými objezdy hrází Slapy a Orlík v trase stávajících komunikací (s nutnými úpravami) a s vykládkou z lodi v Týně nad Vltavou.</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rPr>
      </w:pPr>
      <w:r w:rsidRPr="00D76D50">
        <w:rPr>
          <w:rFonts w:cs="Arial"/>
          <w:b/>
        </w:rPr>
        <w:t xml:space="preserve">Na výstavbové ploše jsou veškeré potřebné pozemky ve vlastnictví ČEZ stejně, jako nezbytné pozemky pro zařízení staveniště </w:t>
      </w:r>
      <w:r w:rsidRPr="00D76D50">
        <w:rPr>
          <w:rFonts w:cs="Arial"/>
        </w:rPr>
        <w:t>– dobíhají pouze výkupy pozemků pro zacelení plochy zařízení staveniště v zájmu usnadnění výstavby.</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b/>
        </w:rPr>
      </w:pPr>
      <w:r w:rsidRPr="00D76D50">
        <w:rPr>
          <w:rFonts w:cs="Arial"/>
          <w:b/>
        </w:rPr>
        <w:t xml:space="preserve">Je dokončován výkup pozemků pro napojení potřebné infrastruktury </w:t>
      </w:r>
      <w:r w:rsidRPr="00D76D50">
        <w:rPr>
          <w:rFonts w:cs="Arial"/>
        </w:rPr>
        <w:t>(pozemky a věcná břemena pro vyvedení výkonu, surovou a pitnou vodu a odpadní vodu).</w:t>
      </w:r>
      <w:r w:rsidRPr="00D76D50">
        <w:rPr>
          <w:rFonts w:cs="Arial"/>
          <w:b/>
        </w:rPr>
        <w:t xml:space="preserve"> </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b/>
        </w:rPr>
      </w:pPr>
      <w:r w:rsidRPr="00D76D50">
        <w:rPr>
          <w:rFonts w:cs="Arial"/>
          <w:b/>
        </w:rPr>
        <w:t xml:space="preserve">Je smluvně zajištěno vyvedení výkonu – </w:t>
      </w:r>
      <w:r w:rsidRPr="00D76D50">
        <w:rPr>
          <w:rFonts w:cs="Arial"/>
        </w:rPr>
        <w:t>podepsána smlouva o budoucí smlouvě s ČEPS jasně definující podmínky připojení. Práce na opatřeních v přenosové síti byly zahájeny.</w:t>
      </w:r>
    </w:p>
    <w:p w:rsidR="00F153A8" w:rsidRPr="00D76D50" w:rsidRDefault="00F153A8" w:rsidP="0044189F">
      <w:pPr>
        <w:pStyle w:val="Odstavecseseznamem"/>
        <w:numPr>
          <w:ilvl w:val="0"/>
          <w:numId w:val="72"/>
        </w:numPr>
        <w:spacing w:before="60" w:after="60" w:line="240" w:lineRule="auto"/>
        <w:ind w:left="851"/>
        <w:contextualSpacing w:val="0"/>
        <w:jc w:val="both"/>
        <w:rPr>
          <w:rFonts w:cs="Arial"/>
          <w:b/>
        </w:rPr>
      </w:pPr>
      <w:r w:rsidRPr="00D76D50">
        <w:rPr>
          <w:rFonts w:cs="Arial"/>
          <w:b/>
        </w:rPr>
        <w:t>Projekt má vysokou podporu veřejnosti.</w:t>
      </w:r>
    </w:p>
    <w:p w:rsidR="00F153A8" w:rsidRPr="002E4520" w:rsidRDefault="00253CC9" w:rsidP="0044189F">
      <w:pPr>
        <w:pStyle w:val="Odstavecseseznamem"/>
        <w:numPr>
          <w:ilvl w:val="0"/>
          <w:numId w:val="72"/>
        </w:numPr>
        <w:spacing w:before="60" w:line="240" w:lineRule="auto"/>
        <w:ind w:left="850" w:hanging="357"/>
        <w:contextualSpacing w:val="0"/>
        <w:jc w:val="both"/>
        <w:rPr>
          <w:rFonts w:cs="Arial"/>
          <w:b/>
        </w:rPr>
      </w:pPr>
      <w:r>
        <w:rPr>
          <w:rFonts w:cs="Arial"/>
          <w:b/>
        </w:rPr>
        <w:t>Jsou jasně definovány vztahy s</w:t>
      </w:r>
      <w:r w:rsidR="00F153A8" w:rsidRPr="00D76D50">
        <w:rPr>
          <w:rFonts w:cs="Arial"/>
          <w:b/>
        </w:rPr>
        <w:t xml:space="preserve"> krajem a obcemi</w:t>
      </w:r>
      <w:r w:rsidR="00F153A8" w:rsidRPr="00D76D50">
        <w:rPr>
          <w:rFonts w:cs="Arial"/>
        </w:rPr>
        <w:t xml:space="preserve"> -</w:t>
      </w:r>
      <w:r w:rsidR="00F153A8" w:rsidRPr="00D76D50">
        <w:rPr>
          <w:rFonts w:cs="Arial"/>
          <w:b/>
        </w:rPr>
        <w:t xml:space="preserve"> s</w:t>
      </w:r>
      <w:r w:rsidR="00F153A8" w:rsidRPr="00D76D50">
        <w:rPr>
          <w:rFonts w:cs="Arial"/>
        </w:rPr>
        <w:t>mlouva o zajišťování opatření na území Jihočeského kraje ze dne 25.</w:t>
      </w:r>
      <w:r w:rsidR="00F153A8">
        <w:rPr>
          <w:rFonts w:cs="Arial"/>
        </w:rPr>
        <w:t xml:space="preserve"> </w:t>
      </w:r>
      <w:r w:rsidR="00F153A8" w:rsidRPr="00D76D50">
        <w:rPr>
          <w:rFonts w:cs="Arial"/>
        </w:rPr>
        <w:t>11.</w:t>
      </w:r>
      <w:r w:rsidR="00F153A8">
        <w:rPr>
          <w:rFonts w:cs="Arial"/>
        </w:rPr>
        <w:t xml:space="preserve"> </w:t>
      </w:r>
      <w:r w:rsidR="00F153A8" w:rsidRPr="00D76D50">
        <w:rPr>
          <w:rFonts w:cs="Arial"/>
        </w:rPr>
        <w:t>2010 uzavřená mezi Jihočeským krajem a ČEZ, a. s. Probíhá příprava jednotlivých opatření, v některých případech i jejich realizace.</w:t>
      </w:r>
    </w:p>
    <w:p w:rsidR="00F153A8" w:rsidRDefault="00F153A8" w:rsidP="0044189F">
      <w:pPr>
        <w:pStyle w:val="Odstavecseseznamem"/>
        <w:numPr>
          <w:ilvl w:val="0"/>
          <w:numId w:val="87"/>
        </w:numPr>
        <w:ind w:left="425" w:hanging="357"/>
        <w:contextualSpacing w:val="0"/>
      </w:pPr>
      <w:bookmarkStart w:id="164" w:name="_Toc399759578"/>
      <w:bookmarkStart w:id="165" w:name="_Toc402949144"/>
      <w:bookmarkStart w:id="166" w:name="_Toc407035567"/>
      <w:r w:rsidRPr="002E4520">
        <w:rPr>
          <w:b/>
        </w:rPr>
        <w:t>Projekt NJZ ETE 3, 4 – stav povolovacích a licenčních řízení</w:t>
      </w:r>
      <w:bookmarkEnd w:id="164"/>
      <w:bookmarkEnd w:id="165"/>
      <w:bookmarkEnd w:id="166"/>
    </w:p>
    <w:p w:rsidR="00F153A8" w:rsidRPr="00D76D50" w:rsidRDefault="00F153A8" w:rsidP="0044189F">
      <w:pPr>
        <w:pStyle w:val="Odstavecseseznamem"/>
        <w:numPr>
          <w:ilvl w:val="0"/>
          <w:numId w:val="73"/>
        </w:numPr>
        <w:spacing w:before="120" w:after="0" w:line="240" w:lineRule="auto"/>
        <w:ind w:left="851"/>
        <w:contextualSpacing w:val="0"/>
        <w:jc w:val="both"/>
        <w:rPr>
          <w:rFonts w:cs="Arial"/>
          <w:b/>
          <w:u w:val="single"/>
        </w:rPr>
      </w:pPr>
      <w:r w:rsidRPr="00D76D50">
        <w:rPr>
          <w:rFonts w:cs="Arial"/>
          <w:b/>
        </w:rPr>
        <w:t>Projekt je plně v souladu s Politikou územního rozvoje ČR, se Zásadami územního rozvoje Jihočeského kraje, stejně jako s územními plány dotčených obcí.</w:t>
      </w:r>
    </w:p>
    <w:p w:rsidR="00F153A8" w:rsidRPr="00D76D50" w:rsidRDefault="00F153A8" w:rsidP="0044189F">
      <w:pPr>
        <w:pStyle w:val="Odstavecseseznamem"/>
        <w:numPr>
          <w:ilvl w:val="0"/>
          <w:numId w:val="73"/>
        </w:numPr>
        <w:spacing w:before="60" w:after="60" w:line="240" w:lineRule="auto"/>
        <w:ind w:left="851"/>
        <w:contextualSpacing w:val="0"/>
        <w:jc w:val="both"/>
        <w:rPr>
          <w:rFonts w:cs="Arial"/>
        </w:rPr>
      </w:pPr>
      <w:r w:rsidRPr="00D76D50">
        <w:rPr>
          <w:rFonts w:cs="Arial"/>
          <w:b/>
        </w:rPr>
        <w:t>Vydáno pozitivní stanovisko EIA</w:t>
      </w:r>
      <w:r w:rsidRPr="00D76D50">
        <w:rPr>
          <w:rFonts w:cs="Arial"/>
        </w:rPr>
        <w:t xml:space="preserve"> - dne 18.</w:t>
      </w:r>
      <w:r>
        <w:rPr>
          <w:rFonts w:cs="Arial"/>
        </w:rPr>
        <w:t xml:space="preserve"> </w:t>
      </w:r>
      <w:r w:rsidRPr="00D76D50">
        <w:rPr>
          <w:rFonts w:cs="Arial"/>
        </w:rPr>
        <w:t>1.</w:t>
      </w:r>
      <w:r>
        <w:rPr>
          <w:rFonts w:cs="Arial"/>
        </w:rPr>
        <w:t xml:space="preserve"> </w:t>
      </w:r>
      <w:r w:rsidRPr="00D76D50">
        <w:rPr>
          <w:rFonts w:cs="Arial"/>
        </w:rPr>
        <w:t>2013 vydalo MŽP ČR souhlasné stanovisko EIA.</w:t>
      </w:r>
      <w:r w:rsidRPr="00D76D50">
        <w:t xml:space="preserve"> </w:t>
      </w:r>
      <w:r w:rsidRPr="00D76D50">
        <w:rPr>
          <w:rFonts w:cs="Arial"/>
        </w:rPr>
        <w:t xml:space="preserve">Platnost stanoviska EIA je dle současné legislativy 5 let ode dne vydání (tato lhůta se přerušuje při zahájení </w:t>
      </w:r>
      <w:r w:rsidR="00791F48">
        <w:rPr>
          <w:rFonts w:cs="Arial"/>
        </w:rPr>
        <w:t>navazujícího</w:t>
      </w:r>
      <w:r w:rsidR="00791F48" w:rsidRPr="00D76D50">
        <w:rPr>
          <w:rFonts w:cs="Arial"/>
        </w:rPr>
        <w:t xml:space="preserve"> </w:t>
      </w:r>
      <w:r w:rsidRPr="00D76D50">
        <w:rPr>
          <w:rFonts w:cs="Arial"/>
        </w:rPr>
        <w:t xml:space="preserve">řízení, přičemž je tímto řízením obvykle územní řízení, v případě jaderné elektrárny jím může být povolení k umístění stavby) s možností prodloužení o dalších 5 let. </w:t>
      </w:r>
      <w:r w:rsidR="00791F48">
        <w:rPr>
          <w:rFonts w:cs="Arial"/>
        </w:rPr>
        <w:t xml:space="preserve">Určitou </w:t>
      </w:r>
      <w:r>
        <w:rPr>
          <w:rFonts w:cs="Arial"/>
        </w:rPr>
        <w:t>komplikací může být</w:t>
      </w:r>
      <w:r w:rsidRPr="00D76D50">
        <w:rPr>
          <w:rFonts w:cs="Arial"/>
        </w:rPr>
        <w:t xml:space="preserve"> aplikace podmínek připravované novely zákona EIA, jejíž účinnost se předpokládá </w:t>
      </w:r>
      <w:r>
        <w:rPr>
          <w:rFonts w:cs="Arial"/>
        </w:rPr>
        <w:t xml:space="preserve">v roce </w:t>
      </w:r>
      <w:r w:rsidRPr="00D76D50">
        <w:rPr>
          <w:rFonts w:cs="Arial"/>
        </w:rPr>
        <w:t>2015.</w:t>
      </w:r>
    </w:p>
    <w:p w:rsidR="00F153A8" w:rsidRPr="00D76D50" w:rsidRDefault="00F153A8" w:rsidP="0044189F">
      <w:pPr>
        <w:pStyle w:val="Odstavecseseznamem"/>
        <w:numPr>
          <w:ilvl w:val="0"/>
          <w:numId w:val="73"/>
        </w:numPr>
        <w:spacing w:before="60" w:after="60" w:line="240" w:lineRule="auto"/>
        <w:ind w:left="851"/>
        <w:contextualSpacing w:val="0"/>
        <w:jc w:val="both"/>
        <w:rPr>
          <w:rFonts w:cs="Arial"/>
        </w:rPr>
      </w:pPr>
      <w:r>
        <w:rPr>
          <w:rFonts w:cs="Arial"/>
          <w:b/>
        </w:rPr>
        <w:t>Vydáno</w:t>
      </w:r>
      <w:r w:rsidRPr="00D76D50">
        <w:rPr>
          <w:rFonts w:cs="Arial"/>
          <w:b/>
        </w:rPr>
        <w:t xml:space="preserve"> povolení k umístění dle </w:t>
      </w:r>
      <w:r w:rsidR="00625F08">
        <w:rPr>
          <w:rFonts w:cs="Arial"/>
          <w:b/>
        </w:rPr>
        <w:t>zákona č. 18/1997 sb. (</w:t>
      </w:r>
      <w:r w:rsidRPr="00D76D50">
        <w:rPr>
          <w:rFonts w:cs="Arial"/>
          <w:b/>
        </w:rPr>
        <w:t>Atomového zákona</w:t>
      </w:r>
      <w:r w:rsidR="00625F08">
        <w:rPr>
          <w:rFonts w:cs="Arial"/>
          <w:b/>
        </w:rPr>
        <w:t>)</w:t>
      </w:r>
    </w:p>
    <w:p w:rsidR="00F153A8" w:rsidRPr="00D76D50" w:rsidRDefault="00F153A8" w:rsidP="0044189F">
      <w:pPr>
        <w:pStyle w:val="Odstavecseseznamem"/>
        <w:numPr>
          <w:ilvl w:val="0"/>
          <w:numId w:val="73"/>
        </w:numPr>
        <w:spacing w:before="60" w:after="60" w:line="240" w:lineRule="auto"/>
        <w:ind w:left="851"/>
        <w:contextualSpacing w:val="0"/>
        <w:jc w:val="both"/>
        <w:rPr>
          <w:rFonts w:cs="Arial"/>
          <w:b/>
        </w:rPr>
      </w:pPr>
      <w:r w:rsidRPr="00D76D50">
        <w:rPr>
          <w:rFonts w:cs="Arial"/>
          <w:b/>
        </w:rPr>
        <w:t>Připravena dokumentace pro územní řízení a zajištěna práva k pozemkům pro silniční část kombinované vodní a silniční trasy s objezdy vodních děl byla v lokalitě Slapy, Kamýk, Orlík a Týn nad Vltavou.</w:t>
      </w:r>
    </w:p>
    <w:p w:rsidR="00F153A8" w:rsidRPr="00D76D50" w:rsidRDefault="00F153A8" w:rsidP="0044189F">
      <w:pPr>
        <w:pStyle w:val="Odstavecseseznamem"/>
        <w:numPr>
          <w:ilvl w:val="0"/>
          <w:numId w:val="73"/>
        </w:numPr>
        <w:spacing w:before="60" w:after="60" w:line="240" w:lineRule="auto"/>
        <w:ind w:left="851"/>
        <w:contextualSpacing w:val="0"/>
        <w:jc w:val="both"/>
        <w:rPr>
          <w:rFonts w:cs="Arial"/>
          <w:b/>
        </w:rPr>
      </w:pPr>
      <w:r w:rsidRPr="00D76D50">
        <w:rPr>
          <w:rFonts w:cs="Arial"/>
          <w:b/>
        </w:rPr>
        <w:t>Probíhají povolovací řízení pro související a vyvolané investice v lokalitě i mimo lokalitu</w:t>
      </w:r>
      <w:r>
        <w:rPr>
          <w:rFonts w:cs="Arial"/>
          <w:b/>
        </w:rPr>
        <w:t>, a to v oblastech</w:t>
      </w:r>
      <w:r w:rsidRPr="00D76D50">
        <w:rPr>
          <w:rFonts w:cs="Arial"/>
          <w:b/>
        </w:rPr>
        <w:t>:</w:t>
      </w:r>
    </w:p>
    <w:p w:rsidR="00F153A8" w:rsidRPr="00D76D50" w:rsidRDefault="00F153A8" w:rsidP="0044189F">
      <w:pPr>
        <w:pStyle w:val="Odstavecseseznamem"/>
        <w:numPr>
          <w:ilvl w:val="0"/>
          <w:numId w:val="70"/>
        </w:numPr>
        <w:spacing w:before="60" w:after="60" w:line="240" w:lineRule="auto"/>
        <w:contextualSpacing w:val="0"/>
        <w:jc w:val="both"/>
        <w:rPr>
          <w:rFonts w:cs="Arial"/>
          <w:b/>
          <w:bCs/>
        </w:rPr>
      </w:pPr>
      <w:r w:rsidRPr="00D76D50">
        <w:rPr>
          <w:rFonts w:cs="Arial"/>
        </w:rPr>
        <w:t xml:space="preserve">připojení elektrárny Temelín do elektrizační soustavy na úrovni 110kV a 400kV; </w:t>
      </w:r>
    </w:p>
    <w:p w:rsidR="00F153A8" w:rsidRPr="00D76D50" w:rsidRDefault="00F153A8" w:rsidP="0044189F">
      <w:pPr>
        <w:pStyle w:val="Odstavecseseznamem"/>
        <w:numPr>
          <w:ilvl w:val="0"/>
          <w:numId w:val="70"/>
        </w:numPr>
        <w:spacing w:before="60" w:after="60" w:line="240" w:lineRule="auto"/>
        <w:contextualSpacing w:val="0"/>
        <w:jc w:val="both"/>
        <w:rPr>
          <w:rFonts w:cs="Arial"/>
          <w:b/>
          <w:bCs/>
        </w:rPr>
      </w:pPr>
      <w:r>
        <w:rPr>
          <w:rFonts w:cs="Arial"/>
        </w:rPr>
        <w:t>transferu živočichů ze zájmového území v</w:t>
      </w:r>
      <w:r w:rsidRPr="00D76D50">
        <w:rPr>
          <w:rFonts w:cs="Arial"/>
        </w:rPr>
        <w:t> návaznosti na vydané pravomocné rozhodnutí o povolení vý</w:t>
      </w:r>
      <w:r>
        <w:rPr>
          <w:rFonts w:cs="Arial"/>
        </w:rPr>
        <w:t>jimky ze zákona č. 114/1992 Sb.;</w:t>
      </w:r>
    </w:p>
    <w:p w:rsidR="00FB0D80" w:rsidRDefault="00F153A8" w:rsidP="0044189F">
      <w:pPr>
        <w:pStyle w:val="Odstavecseseznamem"/>
        <w:numPr>
          <w:ilvl w:val="0"/>
          <w:numId w:val="70"/>
        </w:numPr>
        <w:spacing w:before="60" w:line="240" w:lineRule="auto"/>
        <w:ind w:left="1281" w:hanging="357"/>
        <w:contextualSpacing w:val="0"/>
        <w:jc w:val="both"/>
        <w:rPr>
          <w:rFonts w:cs="Arial"/>
        </w:rPr>
      </w:pPr>
      <w:r w:rsidRPr="00D76D50">
        <w:rPr>
          <w:rFonts w:cs="Arial"/>
        </w:rPr>
        <w:t>V různém stupni schvalování jsou i stavby související s úpravami</w:t>
      </w:r>
      <w:r>
        <w:rPr>
          <w:rFonts w:cs="Arial"/>
        </w:rPr>
        <w:t xml:space="preserve"> komunikací v Jihočeském kraji </w:t>
      </w:r>
    </w:p>
    <w:p w:rsidR="00FB0D80" w:rsidRDefault="00FB0D80">
      <w:pPr>
        <w:rPr>
          <w:rFonts w:cs="Arial"/>
        </w:rPr>
      </w:pPr>
      <w:r>
        <w:rPr>
          <w:rFonts w:cs="Arial"/>
        </w:rPr>
        <w:br w:type="page"/>
      </w:r>
    </w:p>
    <w:p w:rsidR="00F153A8" w:rsidRPr="00CB6E1C" w:rsidRDefault="00F153A8" w:rsidP="00347439">
      <w:pPr>
        <w:pStyle w:val="Odstavecseseznamem"/>
        <w:keepNext/>
        <w:numPr>
          <w:ilvl w:val="0"/>
          <w:numId w:val="87"/>
        </w:numPr>
        <w:ind w:left="425" w:hanging="357"/>
      </w:pPr>
      <w:bookmarkStart w:id="167" w:name="_Toc399759579"/>
      <w:bookmarkStart w:id="168" w:name="_Toc402949145"/>
      <w:bookmarkStart w:id="169" w:name="_Toc407035568"/>
      <w:bookmarkStart w:id="170" w:name="_Toc396474031"/>
      <w:r w:rsidRPr="002E4520">
        <w:rPr>
          <w:b/>
        </w:rPr>
        <w:lastRenderedPageBreak/>
        <w:t>Limity lokality</w:t>
      </w:r>
      <w:bookmarkEnd w:id="167"/>
      <w:bookmarkEnd w:id="168"/>
      <w:bookmarkEnd w:id="169"/>
    </w:p>
    <w:p w:rsidR="00C223D0" w:rsidRPr="00C223D0" w:rsidRDefault="00C223D0" w:rsidP="00C223D0">
      <w:pPr>
        <w:pStyle w:val="Titulek"/>
        <w:keepNext/>
        <w:rPr>
          <w:color w:val="auto"/>
          <w:sz w:val="22"/>
        </w:rPr>
      </w:pPr>
      <w:bookmarkStart w:id="171" w:name="_Toc420058314"/>
      <w:r w:rsidRPr="00C223D0">
        <w:rPr>
          <w:color w:val="auto"/>
          <w:sz w:val="22"/>
        </w:rPr>
        <w:t xml:space="preserve">Tabulka č. </w:t>
      </w:r>
      <w:r w:rsidRPr="00C223D0">
        <w:rPr>
          <w:color w:val="auto"/>
          <w:sz w:val="22"/>
        </w:rPr>
        <w:fldChar w:fldCharType="begin"/>
      </w:r>
      <w:r w:rsidRPr="00C223D0">
        <w:rPr>
          <w:color w:val="auto"/>
          <w:sz w:val="22"/>
        </w:rPr>
        <w:instrText xml:space="preserve"> SEQ Tabulka_č. \* ARABIC </w:instrText>
      </w:r>
      <w:r w:rsidRPr="00C223D0">
        <w:rPr>
          <w:color w:val="auto"/>
          <w:sz w:val="22"/>
        </w:rPr>
        <w:fldChar w:fldCharType="separate"/>
      </w:r>
      <w:r w:rsidR="00FE1E1A">
        <w:rPr>
          <w:noProof/>
          <w:color w:val="auto"/>
          <w:sz w:val="22"/>
        </w:rPr>
        <w:t>10</w:t>
      </w:r>
      <w:r w:rsidRPr="00C223D0">
        <w:rPr>
          <w:color w:val="auto"/>
          <w:sz w:val="22"/>
        </w:rPr>
        <w:fldChar w:fldCharType="end"/>
      </w:r>
      <w:r w:rsidRPr="00C223D0">
        <w:rPr>
          <w:color w:val="auto"/>
          <w:sz w:val="22"/>
        </w:rPr>
        <w:t xml:space="preserve">: </w:t>
      </w:r>
      <w:r w:rsidRPr="00C223D0">
        <w:rPr>
          <w:b w:val="0"/>
          <w:i/>
          <w:color w:val="auto"/>
          <w:sz w:val="22"/>
        </w:rPr>
        <w:t>Limity lokality</w:t>
      </w:r>
      <w:r>
        <w:rPr>
          <w:b w:val="0"/>
          <w:i/>
          <w:color w:val="auto"/>
          <w:sz w:val="22"/>
        </w:rPr>
        <w:t xml:space="preserve"> (lokality Temelín)</w:t>
      </w:r>
      <w:bookmarkEnd w:id="171"/>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154"/>
      </w:tblGrid>
      <w:tr w:rsidR="00FF5944" w:rsidRPr="0093170C" w:rsidTr="003F62D8">
        <w:tc>
          <w:tcPr>
            <w:tcW w:w="2791" w:type="dxa"/>
            <w:tcBorders>
              <w:top w:val="single" w:sz="12" w:space="0" w:color="auto"/>
              <w:left w:val="single" w:sz="12" w:space="0" w:color="auto"/>
              <w:bottom w:val="single" w:sz="12" w:space="0" w:color="auto"/>
              <w:right w:val="single" w:sz="8" w:space="0" w:color="auto"/>
            </w:tcBorders>
            <w:shd w:val="clear" w:color="auto" w:fill="B8CCE4" w:themeFill="accent1" w:themeFillTint="66"/>
          </w:tcPr>
          <w:p w:rsidR="00FF5944" w:rsidRPr="00FF5944" w:rsidRDefault="00FF5944" w:rsidP="007C1F8E">
            <w:pPr>
              <w:spacing w:before="120" w:after="120"/>
              <w:rPr>
                <w:b/>
              </w:rPr>
            </w:pPr>
            <w:r w:rsidRPr="00FF5944">
              <w:rPr>
                <w:b/>
              </w:rPr>
              <w:t>Typ limitu</w:t>
            </w:r>
          </w:p>
        </w:tc>
        <w:tc>
          <w:tcPr>
            <w:tcW w:w="5154" w:type="dxa"/>
            <w:tcBorders>
              <w:top w:val="single" w:sz="12" w:space="0" w:color="auto"/>
              <w:left w:val="single" w:sz="8" w:space="0" w:color="auto"/>
              <w:bottom w:val="single" w:sz="12" w:space="0" w:color="auto"/>
              <w:right w:val="single" w:sz="12" w:space="0" w:color="auto"/>
            </w:tcBorders>
            <w:shd w:val="clear" w:color="auto" w:fill="B8CCE4" w:themeFill="accent1" w:themeFillTint="66"/>
          </w:tcPr>
          <w:p w:rsidR="00FF5944" w:rsidRPr="00FF5944" w:rsidRDefault="00FF5944" w:rsidP="007C1F8E">
            <w:pPr>
              <w:spacing w:before="120" w:after="120"/>
              <w:ind w:left="33"/>
              <w:rPr>
                <w:b/>
              </w:rPr>
            </w:pPr>
            <w:r w:rsidRPr="00FF5944">
              <w:rPr>
                <w:b/>
              </w:rPr>
              <w:t>Popis limitu</w:t>
            </w:r>
          </w:p>
        </w:tc>
      </w:tr>
      <w:tr w:rsidR="00F153A8" w:rsidRPr="0093170C" w:rsidTr="003F62D8">
        <w:tc>
          <w:tcPr>
            <w:tcW w:w="2791" w:type="dxa"/>
            <w:tcBorders>
              <w:top w:val="single" w:sz="12" w:space="0" w:color="auto"/>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Celková kapacita lokality pro dostavbu:</w:t>
            </w:r>
          </w:p>
        </w:tc>
        <w:tc>
          <w:tcPr>
            <w:tcW w:w="5154" w:type="dxa"/>
            <w:tcBorders>
              <w:top w:val="single" w:sz="12" w:space="0" w:color="auto"/>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47439">
            <w:pPr>
              <w:spacing w:after="0"/>
              <w:ind w:left="33"/>
              <w:jc w:val="both"/>
            </w:pPr>
            <w:r w:rsidRPr="0093170C">
              <w:t xml:space="preserve">2 bloky o celkovém výkonu až 3400 </w:t>
            </w:r>
            <w:proofErr w:type="spellStart"/>
            <w:r w:rsidRPr="0093170C">
              <w:t>MWe</w:t>
            </w:r>
            <w:proofErr w:type="spellEnd"/>
            <w:r w:rsidRPr="0093170C">
              <w:t xml:space="preserve"> nezávisle na provozu stávající elektrárny.</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Pozemky</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Default="00F153A8" w:rsidP="00347439">
            <w:pPr>
              <w:spacing w:after="0"/>
              <w:jc w:val="both"/>
            </w:pPr>
            <w:r w:rsidRPr="0093170C">
              <w:t>Není omezení – veškeré pozemky pro výstavbu zajištěny</w:t>
            </w:r>
          </w:p>
          <w:p w:rsidR="00F153A8" w:rsidRPr="0093170C" w:rsidRDefault="00F153A8" w:rsidP="00347439">
            <w:pPr>
              <w:spacing w:after="0"/>
              <w:jc w:val="both"/>
            </w:pPr>
            <w:r>
              <w:t>Nutný přesun živočichů do nových biotopů</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Surová a pitná voda</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47439">
            <w:pPr>
              <w:spacing w:after="0"/>
              <w:jc w:val="both"/>
            </w:pPr>
            <w:r w:rsidRPr="0093170C">
              <w:t xml:space="preserve">Není omezení – </w:t>
            </w:r>
            <w:r>
              <w:t xml:space="preserve">viz </w:t>
            </w:r>
            <w:r w:rsidRPr="0093170C">
              <w:t>platné stanovisko EIA</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Dopravitelnost komponent</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47439">
            <w:pPr>
              <w:spacing w:after="0"/>
              <w:jc w:val="both"/>
            </w:pPr>
            <w:r w:rsidRPr="0093170C">
              <w:t>Nutné úpravy na dopravní cestě – předpokládá se kombinovaná vodní / silniční doprava nadrozměrných komponent</w:t>
            </w:r>
            <w:r w:rsidR="00253CC9">
              <w:t>, p</w:t>
            </w:r>
            <w:r w:rsidRPr="0093170C">
              <w:t>rovedena dopravní studie včetně ekonomických dopadů</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Vyvedení výkonu</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47439">
            <w:pPr>
              <w:spacing w:after="0"/>
              <w:jc w:val="both"/>
            </w:pPr>
            <w:r w:rsidRPr="0093170C">
              <w:t>Nutná opatření v elektrizační soustavě – ČEPS zahájil přípravu na základě smlouvy o budoucí smlouvě</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47439">
            <w:pPr>
              <w:spacing w:after="0"/>
              <w:jc w:val="both"/>
            </w:pPr>
            <w:r w:rsidRPr="0093170C">
              <w:t>Vztahy s regionem</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47439">
            <w:pPr>
              <w:spacing w:after="0"/>
              <w:jc w:val="both"/>
            </w:pPr>
            <w:r w:rsidRPr="0093170C">
              <w:t>Podpora regionu pro výstavbu, podepsána dohoda o spolupráci jasně definující opatření v lokalitě</w:t>
            </w:r>
          </w:p>
        </w:tc>
      </w:tr>
      <w:tr w:rsidR="00F153A8" w:rsidRPr="0093170C" w:rsidTr="003F62D8">
        <w:tc>
          <w:tcPr>
            <w:tcW w:w="2791" w:type="dxa"/>
            <w:tcBorders>
              <w:top w:val="dotted" w:sz="4" w:space="0" w:color="808080" w:themeColor="background1" w:themeShade="80"/>
              <w:left w:val="single" w:sz="12" w:space="0" w:color="auto"/>
              <w:bottom w:val="thinThickSmallGap" w:sz="24" w:space="0" w:color="auto"/>
              <w:right w:val="single" w:sz="8" w:space="0" w:color="auto"/>
            </w:tcBorders>
            <w:shd w:val="clear" w:color="auto" w:fill="auto"/>
          </w:tcPr>
          <w:p w:rsidR="00F153A8" w:rsidRPr="0093170C" w:rsidRDefault="00F153A8" w:rsidP="00347439">
            <w:pPr>
              <w:spacing w:after="0"/>
              <w:jc w:val="both"/>
            </w:pPr>
            <w:r w:rsidRPr="0093170C">
              <w:t xml:space="preserve">Ostatní omezení </w:t>
            </w:r>
          </w:p>
        </w:tc>
        <w:tc>
          <w:tcPr>
            <w:tcW w:w="5154" w:type="dxa"/>
            <w:tcBorders>
              <w:top w:val="dotted" w:sz="4" w:space="0" w:color="808080" w:themeColor="background1" w:themeShade="80"/>
              <w:left w:val="single" w:sz="8" w:space="0" w:color="auto"/>
              <w:bottom w:val="thinThickSmallGap" w:sz="24" w:space="0" w:color="auto"/>
              <w:right w:val="single" w:sz="12" w:space="0" w:color="auto"/>
            </w:tcBorders>
            <w:shd w:val="clear" w:color="auto" w:fill="auto"/>
          </w:tcPr>
          <w:p w:rsidR="00F153A8" w:rsidRPr="0093170C" w:rsidRDefault="00F153A8" w:rsidP="00347439">
            <w:pPr>
              <w:spacing w:after="0"/>
              <w:jc w:val="both"/>
            </w:pPr>
            <w:r w:rsidRPr="0093170C">
              <w:t>Nejsou</w:t>
            </w:r>
          </w:p>
        </w:tc>
      </w:tr>
    </w:tbl>
    <w:p w:rsidR="00F153A8" w:rsidRPr="00D76D50" w:rsidRDefault="00F153A8" w:rsidP="002E4520">
      <w:pPr>
        <w:pStyle w:val="Nadpis3"/>
      </w:pPr>
      <w:bookmarkStart w:id="172" w:name="_Toc407035569"/>
      <w:bookmarkStart w:id="173" w:name="_Toc420056012"/>
      <w:bookmarkEnd w:id="170"/>
      <w:r>
        <w:t>Lokalita Dukovany</w:t>
      </w:r>
      <w:bookmarkEnd w:id="172"/>
      <w:bookmarkEnd w:id="173"/>
    </w:p>
    <w:p w:rsidR="00F153A8" w:rsidRPr="00CB6E1C" w:rsidRDefault="00F153A8" w:rsidP="0044189F">
      <w:pPr>
        <w:pStyle w:val="Odstavecseseznamem"/>
        <w:numPr>
          <w:ilvl w:val="0"/>
          <w:numId w:val="88"/>
        </w:numPr>
        <w:ind w:left="426"/>
      </w:pPr>
      <w:bookmarkStart w:id="174" w:name="_Toc399759581"/>
      <w:bookmarkStart w:id="175" w:name="_Toc402949147"/>
      <w:bookmarkStart w:id="176" w:name="_Toc407035570"/>
      <w:bookmarkStart w:id="177" w:name="_Toc396474033"/>
      <w:r w:rsidRPr="002E4520">
        <w:rPr>
          <w:b/>
        </w:rPr>
        <w:t>Informace o lokalitě</w:t>
      </w:r>
      <w:bookmarkEnd w:id="174"/>
      <w:bookmarkEnd w:id="175"/>
      <w:bookmarkEnd w:id="176"/>
    </w:p>
    <w:p w:rsidR="00F153A8" w:rsidRPr="00D76D50" w:rsidRDefault="00F153A8" w:rsidP="00976D3F">
      <w:pPr>
        <w:jc w:val="both"/>
        <w:rPr>
          <w:rFonts w:cs="Arial"/>
        </w:rPr>
      </w:pPr>
      <w:r w:rsidRPr="00D76D50">
        <w:rPr>
          <w:rFonts w:cs="Arial"/>
        </w:rPr>
        <w:t xml:space="preserve">Lokalita Dukovany leží 30 km jihozápadně od Brna na pravém břehu řeky Jihlavy a patří do správního obvodu Kraje Vysočina, v těsné blízkosti hranice s Jihomoravským krajem. </w:t>
      </w:r>
    </w:p>
    <w:p w:rsidR="00F153A8" w:rsidRPr="003B5525" w:rsidRDefault="00976D3F" w:rsidP="00976D3F">
      <w:pPr>
        <w:jc w:val="both"/>
        <w:rPr>
          <w:rFonts w:cs="Arial"/>
        </w:rPr>
      </w:pPr>
      <w:r>
        <w:rPr>
          <w:rFonts w:cs="Arial"/>
        </w:rPr>
        <w:t>Mezi le</w:t>
      </w:r>
      <w:r w:rsidR="00F153A8" w:rsidRPr="00D76D50">
        <w:rPr>
          <w:rFonts w:cs="Arial"/>
        </w:rPr>
        <w:t>ty 1985 - 1987 byly v lokalitě postupně spuštěny 4 jaderné bloky VVER</w:t>
      </w:r>
      <w:r w:rsidR="007F570D">
        <w:rPr>
          <w:rFonts w:cs="Arial"/>
        </w:rPr>
        <w:t xml:space="preserve"> </w:t>
      </w:r>
      <w:r w:rsidR="00F153A8" w:rsidRPr="00D76D50">
        <w:rPr>
          <w:rFonts w:cs="Arial"/>
        </w:rPr>
        <w:t xml:space="preserve">440 typu V-213, jejichž instalovaný výkon dnes činí 4 x 500 MW. V roce 2015 bude ČEZ žádat o </w:t>
      </w:r>
      <w:proofErr w:type="gramStart"/>
      <w:r w:rsidR="00F153A8" w:rsidRPr="00D76D50">
        <w:rPr>
          <w:rFonts w:cs="Arial"/>
        </w:rPr>
        <w:t>10</w:t>
      </w:r>
      <w:r>
        <w:rPr>
          <w:rFonts w:cs="Arial"/>
        </w:rPr>
        <w:t>-</w:t>
      </w:r>
      <w:r w:rsidR="00F153A8" w:rsidRPr="00D76D50">
        <w:rPr>
          <w:rFonts w:cs="Arial"/>
        </w:rPr>
        <w:t>ti</w:t>
      </w:r>
      <w:proofErr w:type="gramEnd"/>
      <w:r w:rsidR="00F153A8" w:rsidRPr="00D76D50">
        <w:rPr>
          <w:rFonts w:cs="Arial"/>
        </w:rPr>
        <w:t xml:space="preserve"> leté prodloužení licence k provozu do roku 2025 s cílem následně znovu prodloužit licenci alespoň do roku 2035. Pak bude pravděpodobně </w:t>
      </w:r>
      <w:r w:rsidR="00F153A8" w:rsidRPr="003B5525">
        <w:rPr>
          <w:rFonts w:cs="Arial"/>
        </w:rPr>
        <w:t>následovat optimalizace a útlum.</w:t>
      </w:r>
    </w:p>
    <w:p w:rsidR="00F153A8" w:rsidRPr="003B5525" w:rsidRDefault="00F153A8" w:rsidP="00976D3F">
      <w:pPr>
        <w:jc w:val="both"/>
        <w:rPr>
          <w:rFonts w:cs="Arial"/>
        </w:rPr>
      </w:pPr>
      <w:r w:rsidRPr="003B5525">
        <w:rPr>
          <w:rFonts w:cs="Arial"/>
        </w:rPr>
        <w:t xml:space="preserve">Momentálně </w:t>
      </w:r>
      <w:r w:rsidR="001340AB" w:rsidRPr="003B5525">
        <w:rPr>
          <w:rFonts w:cs="Arial"/>
        </w:rPr>
        <w:t xml:space="preserve">probíhají </w:t>
      </w:r>
      <w:r w:rsidRPr="003B5525">
        <w:rPr>
          <w:rFonts w:cs="Arial"/>
        </w:rPr>
        <w:t xml:space="preserve">v lokalitě činnosti s cílem postavit </w:t>
      </w:r>
      <w:r w:rsidRPr="003B5525">
        <w:rPr>
          <w:rFonts w:cs="Arial"/>
          <w:u w:val="single"/>
        </w:rPr>
        <w:t>jeden nový blok EDU</w:t>
      </w:r>
      <w:r w:rsidR="00BA24EC">
        <w:rPr>
          <w:rFonts w:cs="Arial"/>
          <w:u w:val="single"/>
        </w:rPr>
        <w:t xml:space="preserve"> </w:t>
      </w:r>
      <w:r w:rsidRPr="003B5525">
        <w:rPr>
          <w:rFonts w:cs="Arial"/>
          <w:u w:val="single"/>
        </w:rPr>
        <w:t>5</w:t>
      </w:r>
      <w:r w:rsidRPr="003B5525">
        <w:rPr>
          <w:rFonts w:cs="Arial"/>
        </w:rPr>
        <w:t>:</w:t>
      </w:r>
    </w:p>
    <w:p w:rsidR="00F153A8" w:rsidRPr="003B5525" w:rsidRDefault="00F153A8" w:rsidP="0044189F">
      <w:pPr>
        <w:pStyle w:val="Odstavecseseznamem"/>
        <w:numPr>
          <w:ilvl w:val="0"/>
          <w:numId w:val="74"/>
        </w:numPr>
        <w:spacing w:before="120" w:after="120" w:line="240" w:lineRule="auto"/>
        <w:ind w:left="851"/>
        <w:contextualSpacing w:val="0"/>
        <w:jc w:val="both"/>
        <w:rPr>
          <w:rFonts w:cs="Arial"/>
        </w:rPr>
      </w:pPr>
      <w:r w:rsidRPr="003B5525">
        <w:rPr>
          <w:rFonts w:cs="Arial"/>
          <w:b/>
        </w:rPr>
        <w:t>Lokalita EDU má nezbytnou infrastrukturu pro jaderné bloky</w:t>
      </w:r>
      <w:r w:rsidRPr="003B5525">
        <w:rPr>
          <w:rFonts w:cs="Arial"/>
        </w:rPr>
        <w:t xml:space="preserve"> – je to prozkoumaná a</w:t>
      </w:r>
      <w:r w:rsidR="00C223D0">
        <w:rPr>
          <w:rFonts w:cs="Arial"/>
        </w:rPr>
        <w:t> </w:t>
      </w:r>
      <w:r w:rsidRPr="003B5525">
        <w:rPr>
          <w:rFonts w:cs="Arial"/>
        </w:rPr>
        <w:t>vyzkoušená lokalita, se zásobou vody (přehrada), přívodními a odvodními řady, připojením do elektrické sítě, se znalým personálem a podporou samosprávy.</w:t>
      </w:r>
    </w:p>
    <w:p w:rsidR="00F153A8" w:rsidRPr="003B5525" w:rsidRDefault="00F153A8" w:rsidP="0044189F">
      <w:pPr>
        <w:pStyle w:val="Odstavecseseznamem"/>
        <w:numPr>
          <w:ilvl w:val="0"/>
          <w:numId w:val="74"/>
        </w:numPr>
        <w:spacing w:before="120" w:after="120" w:line="240" w:lineRule="auto"/>
        <w:ind w:left="851"/>
        <w:contextualSpacing w:val="0"/>
        <w:jc w:val="both"/>
        <w:rPr>
          <w:rFonts w:cs="Arial"/>
        </w:rPr>
      </w:pPr>
      <w:r w:rsidRPr="003B5525">
        <w:rPr>
          <w:rFonts w:cs="Arial"/>
          <w:b/>
        </w:rPr>
        <w:t>Studie proveditelnosti</w:t>
      </w:r>
      <w:r w:rsidRPr="003B5525">
        <w:rPr>
          <w:rFonts w:cs="Arial"/>
        </w:rPr>
        <w:t xml:space="preserve"> – </w:t>
      </w:r>
      <w:r w:rsidR="00976D3F">
        <w:rPr>
          <w:rFonts w:cs="Arial"/>
        </w:rPr>
        <w:t>b</w:t>
      </w:r>
      <w:r w:rsidRPr="003B5525">
        <w:rPr>
          <w:rFonts w:cs="Arial"/>
        </w:rPr>
        <w:t xml:space="preserve">ylo analyzováno umístění 6 možných typů reaktorů. </w:t>
      </w:r>
      <w:r w:rsidRPr="003B5525">
        <w:rPr>
          <w:rFonts w:cs="Arial"/>
        </w:rPr>
        <w:br/>
        <w:t>Rozdělení zvažovaných typů reaktorů podle výkonu:</w:t>
      </w:r>
    </w:p>
    <w:p w:rsidR="00F153A8" w:rsidRPr="003B5525" w:rsidRDefault="00F153A8" w:rsidP="0044189F">
      <w:pPr>
        <w:pStyle w:val="Odstavecseseznamem"/>
        <w:numPr>
          <w:ilvl w:val="1"/>
          <w:numId w:val="102"/>
        </w:numPr>
        <w:spacing w:before="120" w:after="120" w:line="240" w:lineRule="auto"/>
        <w:ind w:left="1418"/>
        <w:contextualSpacing w:val="0"/>
        <w:jc w:val="both"/>
        <w:rPr>
          <w:rFonts w:cs="Arial"/>
        </w:rPr>
      </w:pPr>
      <w:r w:rsidRPr="003B5525">
        <w:rPr>
          <w:rFonts w:cs="Arial"/>
          <w:u w:val="single"/>
        </w:rPr>
        <w:t>Malé</w:t>
      </w:r>
      <w:r w:rsidRPr="003B5525">
        <w:rPr>
          <w:rFonts w:cs="Arial"/>
        </w:rPr>
        <w:t xml:space="preserve"> - s výkonem do 1200</w:t>
      </w:r>
      <w:r w:rsidR="00976D3F">
        <w:rPr>
          <w:rFonts w:cs="Arial"/>
        </w:rPr>
        <w:t xml:space="preserve"> </w:t>
      </w:r>
      <w:r w:rsidRPr="003B5525">
        <w:rPr>
          <w:rFonts w:cs="Arial"/>
        </w:rPr>
        <w:t xml:space="preserve">MW – MIR (Rusko – ASE), Atmea1 (Francie + Japonsko – </w:t>
      </w:r>
      <w:proofErr w:type="spellStart"/>
      <w:r w:rsidRPr="003B5525">
        <w:rPr>
          <w:rFonts w:cs="Arial"/>
        </w:rPr>
        <w:t>Atmea</w:t>
      </w:r>
      <w:proofErr w:type="spellEnd"/>
      <w:r w:rsidRPr="003B5525">
        <w:rPr>
          <w:rFonts w:cs="Arial"/>
        </w:rPr>
        <w:t xml:space="preserve">), AP1000 – (USA – WEC); </w:t>
      </w:r>
    </w:p>
    <w:p w:rsidR="00F153A8" w:rsidRPr="00D76D50" w:rsidRDefault="00F153A8" w:rsidP="0044189F">
      <w:pPr>
        <w:pStyle w:val="Odstavecseseznamem"/>
        <w:numPr>
          <w:ilvl w:val="1"/>
          <w:numId w:val="102"/>
        </w:numPr>
        <w:spacing w:before="120" w:after="120" w:line="240" w:lineRule="auto"/>
        <w:ind w:left="1418"/>
        <w:contextualSpacing w:val="0"/>
        <w:jc w:val="both"/>
        <w:rPr>
          <w:rFonts w:cs="Arial"/>
        </w:rPr>
      </w:pPr>
      <w:r w:rsidRPr="003B5525">
        <w:rPr>
          <w:rFonts w:cs="Arial"/>
          <w:u w:val="single"/>
        </w:rPr>
        <w:t>Střední</w:t>
      </w:r>
      <w:r w:rsidRPr="003B5525">
        <w:rPr>
          <w:rFonts w:cs="Arial"/>
        </w:rPr>
        <w:t xml:space="preserve"> – s výkonem 1455</w:t>
      </w:r>
      <w:r w:rsidR="00976D3F">
        <w:rPr>
          <w:rFonts w:cs="Arial"/>
        </w:rPr>
        <w:t xml:space="preserve"> </w:t>
      </w:r>
      <w:r w:rsidRPr="003B5525">
        <w:rPr>
          <w:rFonts w:cs="Arial"/>
        </w:rPr>
        <w:t>MW</w:t>
      </w:r>
      <w:r w:rsidRPr="00D76D50">
        <w:rPr>
          <w:rFonts w:cs="Arial"/>
        </w:rPr>
        <w:t xml:space="preserve"> – APR (Korea – KHNP); </w:t>
      </w:r>
    </w:p>
    <w:p w:rsidR="00FB0D80" w:rsidRDefault="00F153A8" w:rsidP="0044189F">
      <w:pPr>
        <w:pStyle w:val="Odstavecseseznamem"/>
        <w:numPr>
          <w:ilvl w:val="1"/>
          <w:numId w:val="102"/>
        </w:numPr>
        <w:spacing w:before="120" w:after="120" w:line="240" w:lineRule="auto"/>
        <w:ind w:left="1418"/>
        <w:contextualSpacing w:val="0"/>
        <w:jc w:val="both"/>
        <w:rPr>
          <w:rFonts w:cs="Arial"/>
        </w:rPr>
      </w:pPr>
      <w:r w:rsidRPr="00D76D50">
        <w:rPr>
          <w:rFonts w:cs="Arial"/>
          <w:u w:val="single"/>
        </w:rPr>
        <w:t>Velké</w:t>
      </w:r>
      <w:r w:rsidRPr="00D76D50">
        <w:rPr>
          <w:rFonts w:cs="Arial"/>
        </w:rPr>
        <w:t xml:space="preserve"> - s výkonem 1750</w:t>
      </w:r>
      <w:r w:rsidR="00976D3F">
        <w:rPr>
          <w:rFonts w:cs="Arial"/>
        </w:rPr>
        <w:t xml:space="preserve"> </w:t>
      </w:r>
      <w:r w:rsidRPr="00D76D50">
        <w:rPr>
          <w:rFonts w:cs="Arial"/>
        </w:rPr>
        <w:t xml:space="preserve">MW – APWR (Japonsko – MHI), EPR (Francie – </w:t>
      </w:r>
      <w:proofErr w:type="spellStart"/>
      <w:r w:rsidRPr="00D76D50">
        <w:rPr>
          <w:rFonts w:cs="Arial"/>
        </w:rPr>
        <w:t>Areva</w:t>
      </w:r>
      <w:proofErr w:type="spellEnd"/>
      <w:r w:rsidRPr="00D76D50">
        <w:rPr>
          <w:rFonts w:cs="Arial"/>
        </w:rPr>
        <w:t>).</w:t>
      </w:r>
    </w:p>
    <w:p w:rsidR="00FB0D80" w:rsidRDefault="00FB0D80">
      <w:pPr>
        <w:rPr>
          <w:rFonts w:cs="Arial"/>
        </w:rPr>
      </w:pPr>
      <w:r>
        <w:rPr>
          <w:rFonts w:cs="Arial"/>
        </w:rPr>
        <w:br w:type="page"/>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lastRenderedPageBreak/>
        <w:t>Voda</w:t>
      </w:r>
      <w:r w:rsidRPr="00D76D50">
        <w:rPr>
          <w:rFonts w:cs="Arial"/>
        </w:rPr>
        <w:t xml:space="preserve"> – Z pohledu množství a kvality vody v řece Jihlavě je možné po odstavení EDU</w:t>
      </w:r>
      <w:r w:rsidR="00BA24EC">
        <w:rPr>
          <w:rFonts w:cs="Arial"/>
        </w:rPr>
        <w:t xml:space="preserve"> </w:t>
      </w:r>
      <w:r w:rsidRPr="00D76D50">
        <w:rPr>
          <w:rFonts w:cs="Arial"/>
        </w:rPr>
        <w:t xml:space="preserve">1-4 dlouhodobě provozovat v lokalitě buď jeden velký blok, nebo jeden střední blok nebo dva malé bloky. V případě postupné realizace </w:t>
      </w:r>
      <w:r w:rsidRPr="00D76D50">
        <w:rPr>
          <w:rFonts w:cs="Arial"/>
          <w:b/>
        </w:rPr>
        <w:t>dvou malých bloků</w:t>
      </w:r>
      <w:r w:rsidRPr="00D76D50">
        <w:rPr>
          <w:rFonts w:cs="Arial"/>
        </w:rPr>
        <w:t xml:space="preserve"> dojde k optimálnímu využití lokality.</w:t>
      </w:r>
    </w:p>
    <w:p w:rsidR="00F153A8" w:rsidRPr="00D76D50" w:rsidRDefault="00F153A8" w:rsidP="0044189F">
      <w:pPr>
        <w:pStyle w:val="Odstavecseseznamem"/>
        <w:numPr>
          <w:ilvl w:val="0"/>
          <w:numId w:val="75"/>
        </w:numPr>
        <w:spacing w:before="120" w:after="120"/>
        <w:ind w:left="851"/>
        <w:rPr>
          <w:rFonts w:cs="Arial"/>
        </w:rPr>
      </w:pPr>
      <w:r w:rsidRPr="00D76D50">
        <w:rPr>
          <w:rFonts w:cs="Arial"/>
          <w:b/>
        </w:rPr>
        <w:t>Vzhledem k termínu možného spuštění EDU</w:t>
      </w:r>
      <w:r w:rsidR="00BA24EC">
        <w:rPr>
          <w:rFonts w:cs="Arial"/>
          <w:b/>
        </w:rPr>
        <w:t xml:space="preserve"> </w:t>
      </w:r>
      <w:r w:rsidRPr="00D76D50">
        <w:rPr>
          <w:rFonts w:cs="Arial"/>
          <w:b/>
        </w:rPr>
        <w:t>5</w:t>
      </w:r>
      <w:r w:rsidRPr="00D76D50">
        <w:rPr>
          <w:rFonts w:cs="Arial"/>
        </w:rPr>
        <w:t xml:space="preserve"> (vychází z rizikové analýzy a harmonogramu v podmínkách české legislativy </w:t>
      </w:r>
      <w:r w:rsidRPr="00E90BAE">
        <w:rPr>
          <w:rFonts w:cs="Arial"/>
          <w:b/>
        </w:rPr>
        <w:t>na rok 2032, max. 2037),</w:t>
      </w:r>
      <w:r w:rsidRPr="00D76D50">
        <w:rPr>
          <w:rFonts w:cs="Arial"/>
          <w:b/>
        </w:rPr>
        <w:t xml:space="preserve"> </w:t>
      </w:r>
      <w:r w:rsidRPr="00D76D50">
        <w:rPr>
          <w:rFonts w:cs="Arial"/>
        </w:rPr>
        <w:t>je možno při přípravě jednoho malého bloku EDU</w:t>
      </w:r>
      <w:r w:rsidR="00BA24EC">
        <w:rPr>
          <w:rFonts w:cs="Arial"/>
        </w:rPr>
        <w:t xml:space="preserve"> </w:t>
      </w:r>
      <w:r w:rsidRPr="00D76D50">
        <w:rPr>
          <w:rFonts w:cs="Arial"/>
        </w:rPr>
        <w:t>5 hovořit spíše o ná</w:t>
      </w:r>
      <w:r w:rsidR="007C3B88">
        <w:rPr>
          <w:rFonts w:cs="Arial"/>
        </w:rPr>
        <w:t>hradě než o rozšíření kapacity.</w:t>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Doprava nadrozměrných a těžkých komponent</w:t>
      </w:r>
      <w:r w:rsidRPr="00D76D50">
        <w:rPr>
          <w:rFonts w:cs="Arial"/>
        </w:rPr>
        <w:t xml:space="preserve"> – byla vybrána trasa po Labi do Kolína, a potom po silnicích do Dukovan s nutností invest</w:t>
      </w:r>
      <w:r w:rsidR="007C3B88">
        <w:rPr>
          <w:rFonts w:cs="Arial"/>
        </w:rPr>
        <w:t>ic do dopravní infrastruktury.</w:t>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 xml:space="preserve">Je smluvně zajištěno vyvedení výkonu </w:t>
      </w:r>
      <w:r w:rsidRPr="00D76D50">
        <w:rPr>
          <w:rFonts w:cs="Arial"/>
        </w:rPr>
        <w:t>– podepsána smlouva o budoucí smlouvě s ČEPS jasně definující podmínky připojení. Úpravy jsou relativně jednoduše realizovatelné - úpravy rozvodny Slavětice a Sokolnice, posílení dnešního vedení Sokolnice-Slavětice.</w:t>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Geologie a hydrogeologie</w:t>
      </w:r>
      <w:r w:rsidRPr="00D76D50">
        <w:rPr>
          <w:rFonts w:cs="Arial"/>
        </w:rPr>
        <w:t xml:space="preserve"> – byly identifikovány dvě možné plochy pro výstavu nového bloku a jsou prověřovány na požadavky pro výstavbu jaderné elektrárny.</w:t>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Biologické průzkumy</w:t>
      </w:r>
      <w:r w:rsidRPr="00D76D50">
        <w:rPr>
          <w:rFonts w:cs="Arial"/>
        </w:rPr>
        <w:t xml:space="preserve"> – nebyla nalezena překážka pro výstavu, vlivy jsou kompenzovatelné.</w:t>
      </w:r>
    </w:p>
    <w:p w:rsidR="00F153A8" w:rsidRPr="00D76D50"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 xml:space="preserve">Na staveništi jsou veškeré potřebné pozemky ve vlastnictví ČEZ, </w:t>
      </w:r>
      <w:r w:rsidRPr="00D76D50">
        <w:rPr>
          <w:rFonts w:cs="Arial"/>
        </w:rPr>
        <w:t>dokončují se výkupy pozemků pro napojení potřebné infrastruktury.</w:t>
      </w:r>
    </w:p>
    <w:p w:rsidR="00F153A8" w:rsidRPr="003B5525" w:rsidRDefault="00F153A8" w:rsidP="0044189F">
      <w:pPr>
        <w:pStyle w:val="Odstavecseseznamem"/>
        <w:numPr>
          <w:ilvl w:val="0"/>
          <w:numId w:val="75"/>
        </w:numPr>
        <w:spacing w:before="120" w:after="120" w:line="240" w:lineRule="auto"/>
        <w:ind w:left="851"/>
        <w:contextualSpacing w:val="0"/>
        <w:jc w:val="both"/>
        <w:rPr>
          <w:rFonts w:cs="Arial"/>
        </w:rPr>
      </w:pPr>
      <w:r w:rsidRPr="00D76D50">
        <w:rPr>
          <w:rFonts w:cs="Arial"/>
          <w:b/>
        </w:rPr>
        <w:t>Postoj dotčených krajů</w:t>
      </w:r>
      <w:r w:rsidR="00976D3F">
        <w:rPr>
          <w:rFonts w:cs="Arial"/>
        </w:rPr>
        <w:t xml:space="preserve"> - p</w:t>
      </w:r>
      <w:r w:rsidRPr="00D76D50">
        <w:rPr>
          <w:rFonts w:cs="Arial"/>
        </w:rPr>
        <w:t xml:space="preserve">rojekt </w:t>
      </w:r>
      <w:r w:rsidRPr="003B5525">
        <w:rPr>
          <w:rFonts w:cs="Arial"/>
        </w:rPr>
        <w:t>EDU</w:t>
      </w:r>
      <w:r w:rsidR="00BA24EC">
        <w:rPr>
          <w:rFonts w:cs="Arial"/>
        </w:rPr>
        <w:t xml:space="preserve"> </w:t>
      </w:r>
      <w:r w:rsidRPr="003B5525">
        <w:rPr>
          <w:rFonts w:cs="Arial"/>
        </w:rPr>
        <w:t xml:space="preserve">5 má vysokou podporu ze strany vedení obou krajů, sdružení 136 starostů v 20 km pásmu kolem elektrárny a Energetického Třebíčska. JE Dukovany </w:t>
      </w:r>
      <w:proofErr w:type="gramStart"/>
      <w:r w:rsidRPr="003B5525">
        <w:rPr>
          <w:rFonts w:cs="Arial"/>
        </w:rPr>
        <w:t>je</w:t>
      </w:r>
      <w:proofErr w:type="gramEnd"/>
      <w:r w:rsidRPr="003B5525">
        <w:rPr>
          <w:rFonts w:cs="Arial"/>
        </w:rPr>
        <w:t xml:space="preserve"> největším zaměstnavatelem v kraji se zásadním vlivem na sociální stabilitu. </w:t>
      </w:r>
    </w:p>
    <w:p w:rsidR="00F153A8" w:rsidRPr="00D76D50" w:rsidRDefault="00F153A8" w:rsidP="002E4520">
      <w:pPr>
        <w:jc w:val="both"/>
        <w:rPr>
          <w:rFonts w:cs="Arial"/>
        </w:rPr>
      </w:pPr>
      <w:r w:rsidRPr="003B5525">
        <w:rPr>
          <w:rFonts w:cs="Arial"/>
        </w:rPr>
        <w:t>Momentálně probíhá akcelerace projektu EDU</w:t>
      </w:r>
      <w:r w:rsidR="00BA24EC">
        <w:rPr>
          <w:rFonts w:cs="Arial"/>
        </w:rPr>
        <w:t xml:space="preserve"> </w:t>
      </w:r>
      <w:r w:rsidRPr="003B5525">
        <w:rPr>
          <w:rFonts w:cs="Arial"/>
        </w:rPr>
        <w:t>5 tak, aby podklady pro zahájení procesu EIA byly k dispozici v první polovině roku</w:t>
      </w:r>
      <w:r w:rsidR="001340AB" w:rsidRPr="003B5525">
        <w:rPr>
          <w:rFonts w:cs="Arial"/>
        </w:rPr>
        <w:t xml:space="preserve"> 2015</w:t>
      </w:r>
      <w:r w:rsidRPr="003B5525">
        <w:rPr>
          <w:rFonts w:cs="Arial"/>
        </w:rPr>
        <w:t>. Souběžně s tím byly zahájeny práce na popisu lokality jako podkladu budoucí zadávací dokumentace nutné</w:t>
      </w:r>
      <w:r w:rsidRPr="00D76D50">
        <w:rPr>
          <w:rFonts w:cs="Arial"/>
        </w:rPr>
        <w:t xml:space="preserve"> pro výběr dodavatele.</w:t>
      </w:r>
    </w:p>
    <w:p w:rsidR="00F153A8" w:rsidRPr="00CB6E1C" w:rsidRDefault="00A1107B" w:rsidP="0044189F">
      <w:pPr>
        <w:pStyle w:val="Odstavecseseznamem"/>
        <w:numPr>
          <w:ilvl w:val="0"/>
          <w:numId w:val="88"/>
        </w:numPr>
        <w:ind w:left="426"/>
      </w:pPr>
      <w:bookmarkStart w:id="178" w:name="_Toc399759582"/>
      <w:bookmarkStart w:id="179" w:name="_Toc402949148"/>
      <w:bookmarkStart w:id="180" w:name="_Toc407035571"/>
      <w:bookmarkEnd w:id="177"/>
      <w:r w:rsidRPr="002E4520">
        <w:rPr>
          <w:b/>
        </w:rPr>
        <w:t xml:space="preserve">Projekt NJZ EDU 5 - </w:t>
      </w:r>
      <w:r w:rsidR="00F153A8" w:rsidRPr="002E4520">
        <w:rPr>
          <w:b/>
        </w:rPr>
        <w:t>Povolovací a licenční řízení</w:t>
      </w:r>
      <w:bookmarkEnd w:id="178"/>
      <w:bookmarkEnd w:id="179"/>
      <w:bookmarkEnd w:id="180"/>
    </w:p>
    <w:p w:rsidR="00F153A8" w:rsidRPr="00D76D50" w:rsidRDefault="00F153A8" w:rsidP="002E4520">
      <w:pPr>
        <w:jc w:val="both"/>
        <w:rPr>
          <w:rFonts w:cs="Arial"/>
        </w:rPr>
      </w:pPr>
      <w:r w:rsidRPr="00D76D50">
        <w:rPr>
          <w:rFonts w:cs="Arial"/>
        </w:rPr>
        <w:t>V současnosti neprobíhá ani není zahajováno žádné licenční řízení. Je monitorován aktuální vývoj příslušné legislativy (novela zákona EIA a souvisejících zákonů) a aktualizace SEK, Politiky územního rozvoje</w:t>
      </w:r>
      <w:r w:rsidR="002F299A">
        <w:rPr>
          <w:rFonts w:cs="Arial"/>
        </w:rPr>
        <w:t xml:space="preserve"> ČR</w:t>
      </w:r>
      <w:r w:rsidRPr="00D76D50">
        <w:rPr>
          <w:rFonts w:cs="Arial"/>
        </w:rPr>
        <w:t xml:space="preserve"> a postoj Vlády ČR. </w:t>
      </w:r>
    </w:p>
    <w:p w:rsidR="00F153A8" w:rsidRPr="00D76D50" w:rsidRDefault="00F153A8" w:rsidP="002E4520">
      <w:pPr>
        <w:jc w:val="both"/>
        <w:rPr>
          <w:rFonts w:cs="Arial"/>
        </w:rPr>
      </w:pPr>
      <w:r w:rsidRPr="00D76D50">
        <w:rPr>
          <w:rFonts w:cs="Arial"/>
        </w:rPr>
        <w:t>Územní a energetické plány – projekt EDU</w:t>
      </w:r>
      <w:r w:rsidR="00BA24EC">
        <w:rPr>
          <w:rFonts w:cs="Arial"/>
        </w:rPr>
        <w:t xml:space="preserve"> </w:t>
      </w:r>
      <w:r w:rsidRPr="00D76D50">
        <w:rPr>
          <w:rFonts w:cs="Arial"/>
        </w:rPr>
        <w:t xml:space="preserve">5 je zapracován do všech stupňů územně plánovací dokumentace. Projekt není v rozporu. Návrh </w:t>
      </w:r>
      <w:r w:rsidR="00976D3F">
        <w:rPr>
          <w:rFonts w:cs="Arial"/>
        </w:rPr>
        <w:t>S</w:t>
      </w:r>
      <w:r w:rsidRPr="00D76D50">
        <w:rPr>
          <w:rFonts w:cs="Arial"/>
        </w:rPr>
        <w:t>tátní energetické koncepce počítá s výstavbou v Dukovanech.</w:t>
      </w:r>
    </w:p>
    <w:p w:rsidR="00F153A8" w:rsidRPr="00D76D50" w:rsidRDefault="00F153A8" w:rsidP="002E4520">
      <w:pPr>
        <w:jc w:val="both"/>
        <w:rPr>
          <w:rFonts w:cs="Arial"/>
        </w:rPr>
      </w:pPr>
      <w:r w:rsidRPr="00D76D50">
        <w:rPr>
          <w:rFonts w:cs="Arial"/>
        </w:rPr>
        <w:t xml:space="preserve">Prioritou je zajištění postupu v procesu EIA, tj. vypracování potřebných podkladů a vstupů s následným zpracováním oznámení záměru dle zákona č. 100/2001 Sb. o posuzování vlivů na životní prostředí. Pozornost je také věnována zpracování programu zajištění jakosti, který bude následně předmětem schvalování SÚJB. </w:t>
      </w:r>
    </w:p>
    <w:p w:rsidR="003555AA" w:rsidRDefault="00F153A8" w:rsidP="002E4520">
      <w:pPr>
        <w:jc w:val="both"/>
        <w:rPr>
          <w:rFonts w:cs="Arial"/>
        </w:rPr>
      </w:pPr>
      <w:r w:rsidRPr="00D76D50">
        <w:rPr>
          <w:rFonts w:cs="Arial"/>
        </w:rPr>
        <w:t>Jak je uvedeno výše, byla pro účely rezervace přenosové kapacity pro vyvedení výkonu z NJZ EDU</w:t>
      </w:r>
      <w:r w:rsidR="00BA24EC">
        <w:rPr>
          <w:rFonts w:cs="Arial"/>
        </w:rPr>
        <w:t xml:space="preserve"> </w:t>
      </w:r>
      <w:r w:rsidRPr="00D76D50">
        <w:rPr>
          <w:rFonts w:cs="Arial"/>
        </w:rPr>
        <w:t>5 v minulosti uzavřena smlouva o smlouvě budoucí mezi ČEPS, a.s.</w:t>
      </w:r>
      <w:r>
        <w:rPr>
          <w:rFonts w:cs="Arial"/>
        </w:rPr>
        <w:t>,</w:t>
      </w:r>
      <w:r w:rsidRPr="00D76D50">
        <w:rPr>
          <w:rFonts w:cs="Arial"/>
        </w:rPr>
        <w:t xml:space="preserve"> a ČEZ, a.s. Aktuálně je připravováno uzavření dodatku k této smlouvě z důvodu změn v předpokládaných termínech výstavby EDU</w:t>
      </w:r>
      <w:r w:rsidR="00BA24EC">
        <w:rPr>
          <w:rFonts w:cs="Arial"/>
        </w:rPr>
        <w:t xml:space="preserve"> </w:t>
      </w:r>
      <w:r w:rsidRPr="00D76D50">
        <w:rPr>
          <w:rFonts w:cs="Arial"/>
        </w:rPr>
        <w:t>5.</w:t>
      </w:r>
    </w:p>
    <w:p w:rsidR="003555AA" w:rsidRDefault="003555AA">
      <w:pPr>
        <w:rPr>
          <w:rFonts w:cs="Arial"/>
        </w:rPr>
      </w:pPr>
      <w:r>
        <w:rPr>
          <w:rFonts w:cs="Arial"/>
        </w:rPr>
        <w:br w:type="page"/>
      </w:r>
    </w:p>
    <w:p w:rsidR="00F153A8" w:rsidRPr="00CB6E1C" w:rsidRDefault="00F153A8" w:rsidP="0044189F">
      <w:pPr>
        <w:pStyle w:val="Odstavecseseznamem"/>
        <w:numPr>
          <w:ilvl w:val="0"/>
          <w:numId w:val="88"/>
        </w:numPr>
        <w:ind w:left="426"/>
      </w:pPr>
      <w:bookmarkStart w:id="181" w:name="_Toc399759583"/>
      <w:bookmarkStart w:id="182" w:name="_Toc402949149"/>
      <w:bookmarkStart w:id="183" w:name="_Toc407035572"/>
      <w:r w:rsidRPr="002E4520">
        <w:rPr>
          <w:b/>
        </w:rPr>
        <w:lastRenderedPageBreak/>
        <w:t>Limity lokality</w:t>
      </w:r>
      <w:bookmarkEnd w:id="181"/>
      <w:bookmarkEnd w:id="182"/>
      <w:bookmarkEnd w:id="183"/>
    </w:p>
    <w:p w:rsidR="00C223D0" w:rsidRPr="00C223D0" w:rsidRDefault="00C223D0" w:rsidP="00C223D0">
      <w:pPr>
        <w:pStyle w:val="Titulek"/>
        <w:keepNext/>
        <w:rPr>
          <w:color w:val="auto"/>
          <w:sz w:val="22"/>
        </w:rPr>
      </w:pPr>
      <w:bookmarkStart w:id="184" w:name="_Toc420058315"/>
      <w:r w:rsidRPr="00C223D0">
        <w:rPr>
          <w:color w:val="auto"/>
          <w:sz w:val="22"/>
        </w:rPr>
        <w:t xml:space="preserve">Tabulka č. </w:t>
      </w:r>
      <w:r w:rsidRPr="00C223D0">
        <w:rPr>
          <w:color w:val="auto"/>
          <w:sz w:val="22"/>
        </w:rPr>
        <w:fldChar w:fldCharType="begin"/>
      </w:r>
      <w:r w:rsidRPr="00C223D0">
        <w:rPr>
          <w:color w:val="auto"/>
          <w:sz w:val="22"/>
        </w:rPr>
        <w:instrText xml:space="preserve"> SEQ Tabulka_č. \* ARABIC </w:instrText>
      </w:r>
      <w:r w:rsidRPr="00C223D0">
        <w:rPr>
          <w:color w:val="auto"/>
          <w:sz w:val="22"/>
        </w:rPr>
        <w:fldChar w:fldCharType="separate"/>
      </w:r>
      <w:r w:rsidR="00FE1E1A">
        <w:rPr>
          <w:noProof/>
          <w:color w:val="auto"/>
          <w:sz w:val="22"/>
        </w:rPr>
        <w:t>11</w:t>
      </w:r>
      <w:r w:rsidRPr="00C223D0">
        <w:rPr>
          <w:color w:val="auto"/>
          <w:sz w:val="22"/>
        </w:rPr>
        <w:fldChar w:fldCharType="end"/>
      </w:r>
      <w:r w:rsidRPr="00C223D0">
        <w:rPr>
          <w:color w:val="auto"/>
          <w:sz w:val="22"/>
        </w:rPr>
        <w:t xml:space="preserve">: </w:t>
      </w:r>
      <w:r w:rsidRPr="00C223D0">
        <w:rPr>
          <w:b w:val="0"/>
          <w:i/>
          <w:color w:val="auto"/>
          <w:sz w:val="22"/>
        </w:rPr>
        <w:t>Limity lokality (lokalita Dukovany)</w:t>
      </w:r>
      <w:bookmarkEnd w:id="184"/>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154"/>
      </w:tblGrid>
      <w:tr w:rsidR="00FF5944" w:rsidRPr="0093170C" w:rsidTr="003F62D8">
        <w:tc>
          <w:tcPr>
            <w:tcW w:w="2791" w:type="dxa"/>
            <w:tcBorders>
              <w:top w:val="single" w:sz="12" w:space="0" w:color="auto"/>
              <w:left w:val="single" w:sz="12" w:space="0" w:color="auto"/>
              <w:right w:val="single" w:sz="8" w:space="0" w:color="auto"/>
            </w:tcBorders>
            <w:shd w:val="clear" w:color="auto" w:fill="B8CCE4" w:themeFill="accent1" w:themeFillTint="66"/>
          </w:tcPr>
          <w:p w:rsidR="00FF5944" w:rsidRPr="00FF5944" w:rsidRDefault="00FF5944" w:rsidP="007C1F8E">
            <w:pPr>
              <w:spacing w:before="120" w:after="120"/>
              <w:ind w:left="131"/>
              <w:rPr>
                <w:b/>
              </w:rPr>
            </w:pPr>
            <w:r w:rsidRPr="00FF5944">
              <w:rPr>
                <w:b/>
              </w:rPr>
              <w:t>Typ limitu</w:t>
            </w:r>
          </w:p>
        </w:tc>
        <w:tc>
          <w:tcPr>
            <w:tcW w:w="5154" w:type="dxa"/>
            <w:tcBorders>
              <w:top w:val="single" w:sz="12" w:space="0" w:color="auto"/>
              <w:left w:val="single" w:sz="8" w:space="0" w:color="auto"/>
              <w:right w:val="single" w:sz="12" w:space="0" w:color="auto"/>
            </w:tcBorders>
            <w:shd w:val="clear" w:color="auto" w:fill="B8CCE4" w:themeFill="accent1" w:themeFillTint="66"/>
          </w:tcPr>
          <w:p w:rsidR="00FF5944" w:rsidRPr="00FF5944" w:rsidRDefault="00FF5944" w:rsidP="007C1F8E">
            <w:pPr>
              <w:spacing w:before="120" w:after="120"/>
              <w:ind w:left="151"/>
              <w:rPr>
                <w:b/>
              </w:rPr>
            </w:pPr>
            <w:r w:rsidRPr="00FF5944">
              <w:rPr>
                <w:b/>
              </w:rPr>
              <w:t>Popis limitu</w:t>
            </w:r>
          </w:p>
        </w:tc>
      </w:tr>
      <w:tr w:rsidR="00F153A8" w:rsidRPr="0093170C" w:rsidTr="003F62D8">
        <w:tc>
          <w:tcPr>
            <w:tcW w:w="2791" w:type="dxa"/>
            <w:tcBorders>
              <w:top w:val="single" w:sz="12" w:space="0" w:color="auto"/>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ind w:left="131"/>
              <w:jc w:val="both"/>
            </w:pPr>
            <w:r w:rsidRPr="0093170C">
              <w:t>Celková</w:t>
            </w:r>
            <w:r w:rsidR="003555AA">
              <w:t xml:space="preserve"> kapacita lokality pro dostavbu</w:t>
            </w:r>
          </w:p>
          <w:p w:rsidR="00F153A8" w:rsidRPr="0093170C" w:rsidRDefault="00F153A8" w:rsidP="003555AA">
            <w:pPr>
              <w:spacing w:after="0"/>
              <w:jc w:val="both"/>
            </w:pPr>
          </w:p>
        </w:tc>
        <w:tc>
          <w:tcPr>
            <w:tcW w:w="5154" w:type="dxa"/>
            <w:tcBorders>
              <w:top w:val="single" w:sz="12" w:space="0" w:color="auto"/>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ind w:left="151"/>
              <w:jc w:val="both"/>
            </w:pPr>
            <w:r w:rsidRPr="0093170C">
              <w:t>V závislosti na provozování EDU 1</w:t>
            </w:r>
            <w:r w:rsidR="003555AA">
              <w:t>-</w:t>
            </w:r>
            <w:r w:rsidRPr="0093170C">
              <w:t>4:</w:t>
            </w:r>
          </w:p>
          <w:p w:rsidR="00F153A8" w:rsidRPr="0087559F" w:rsidRDefault="00F153A8" w:rsidP="003555AA">
            <w:pPr>
              <w:pStyle w:val="Odstavecseseznamem"/>
              <w:numPr>
                <w:ilvl w:val="0"/>
                <w:numId w:val="71"/>
              </w:numPr>
              <w:spacing w:after="0" w:line="240" w:lineRule="auto"/>
              <w:contextualSpacing w:val="0"/>
              <w:jc w:val="both"/>
            </w:pPr>
            <w:r w:rsidRPr="0087559F">
              <w:t>Max. 1 blok 1200 MW v paralelním provozu s EDU 1-4</w:t>
            </w:r>
          </w:p>
          <w:p w:rsidR="00F153A8" w:rsidRPr="0087559F" w:rsidRDefault="00F153A8" w:rsidP="003555AA">
            <w:pPr>
              <w:pStyle w:val="Odstavecseseznamem"/>
              <w:numPr>
                <w:ilvl w:val="0"/>
                <w:numId w:val="71"/>
              </w:numPr>
              <w:spacing w:after="0" w:line="240" w:lineRule="auto"/>
              <w:contextualSpacing w:val="0"/>
              <w:jc w:val="both"/>
            </w:pPr>
            <w:r w:rsidRPr="0087559F">
              <w:t>Pro výstavbu většího bloku paralelně s provozem stávající EDU by pravděpodobně bylo nutné odstavit nebo výrazně omezit výkon 1 bloku stávající elektrárny</w:t>
            </w:r>
          </w:p>
          <w:p w:rsidR="00F153A8" w:rsidRPr="0087559F" w:rsidRDefault="00F153A8" w:rsidP="003555AA">
            <w:pPr>
              <w:pStyle w:val="Odstavecseseznamem"/>
              <w:numPr>
                <w:ilvl w:val="0"/>
                <w:numId w:val="71"/>
              </w:numPr>
              <w:spacing w:after="0" w:line="240" w:lineRule="auto"/>
              <w:contextualSpacing w:val="0"/>
              <w:jc w:val="both"/>
            </w:pPr>
            <w:r w:rsidRPr="0087559F">
              <w:t>V případě odstavení EDU 1-4 možno mít v lokalitě max. 2 x 1200 MW nebo 1 x 1400 nebo 1 x 1700 MW</w:t>
            </w:r>
          </w:p>
          <w:p w:rsidR="00F153A8" w:rsidRPr="0093170C" w:rsidRDefault="00F153A8" w:rsidP="003555AA">
            <w:pPr>
              <w:spacing w:after="0"/>
              <w:ind w:left="151"/>
              <w:jc w:val="both"/>
            </w:pPr>
            <w:r w:rsidRPr="0093170C">
              <w:t>S ohledem na přípravu dokumentace EIA je nutno v krátké době rozhodnout o způsobu budoucí výstavby (rozšíření x náhrada)</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jc w:val="both"/>
            </w:pPr>
            <w:r w:rsidRPr="0093170C">
              <w:t>Pozemky</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jc w:val="both"/>
            </w:pPr>
            <w:r w:rsidRPr="0093170C">
              <w:t xml:space="preserve">Není omezení – probíhají výkupy </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jc w:val="both"/>
            </w:pPr>
            <w:r w:rsidRPr="0093170C">
              <w:t>Surová a pitná voda</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jc w:val="both"/>
            </w:pPr>
            <w:r w:rsidRPr="0093170C">
              <w:t xml:space="preserve">Omezené množství a problematická kvalita vody v řece Jihlavě způsobuje </w:t>
            </w:r>
            <w:r w:rsidR="00413652">
              <w:t>omezení pro velikost bloků (viz</w:t>
            </w:r>
            <w:r w:rsidRPr="0093170C">
              <w:t xml:space="preserve"> řádek „celková kapacita lokality pro dostavbu“)</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jc w:val="both"/>
            </w:pPr>
            <w:r w:rsidRPr="0093170C">
              <w:t>Dopravitelnost komponent</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jc w:val="both"/>
            </w:pPr>
            <w:r w:rsidRPr="0093170C">
              <w:t>Nutné úpravy na dopravní cestě – provedena předběžná dopravní studie, zatím byla provedena pouze omezená analýza ekonomických dopadů</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jc w:val="both"/>
            </w:pPr>
            <w:r w:rsidRPr="0093170C">
              <w:t>Vyvedení výkonu</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jc w:val="both"/>
            </w:pPr>
            <w:r w:rsidRPr="0093170C">
              <w:t>V případě rozšíření stávající elektrárny nutná opatření v elektrizační soustavě – podepsána dohoda s ČEPS</w:t>
            </w:r>
          </w:p>
          <w:p w:rsidR="00F153A8" w:rsidRPr="0093170C" w:rsidRDefault="00F153A8" w:rsidP="003555AA">
            <w:pPr>
              <w:spacing w:after="0"/>
              <w:jc w:val="both"/>
            </w:pPr>
            <w:r w:rsidRPr="0093170C">
              <w:t xml:space="preserve">V případě náhrady stávající elektrárny pravděpodobně žádná opatření </w:t>
            </w:r>
          </w:p>
        </w:tc>
      </w:tr>
      <w:tr w:rsidR="00F153A8" w:rsidRPr="0093170C" w:rsidTr="003F62D8">
        <w:tc>
          <w:tcPr>
            <w:tcW w:w="2791" w:type="dxa"/>
            <w:tcBorders>
              <w:top w:val="dotted" w:sz="4" w:space="0" w:color="808080" w:themeColor="background1" w:themeShade="80"/>
              <w:left w:val="single" w:sz="12" w:space="0" w:color="auto"/>
              <w:bottom w:val="dotted" w:sz="4" w:space="0" w:color="808080" w:themeColor="background1" w:themeShade="80"/>
              <w:right w:val="single" w:sz="8" w:space="0" w:color="auto"/>
            </w:tcBorders>
            <w:shd w:val="clear" w:color="auto" w:fill="auto"/>
          </w:tcPr>
          <w:p w:rsidR="00F153A8" w:rsidRPr="0093170C" w:rsidRDefault="00F153A8" w:rsidP="003555AA">
            <w:pPr>
              <w:spacing w:after="0"/>
              <w:jc w:val="both"/>
            </w:pPr>
            <w:r w:rsidRPr="0093170C">
              <w:t>Vztahy s regionem</w:t>
            </w:r>
          </w:p>
        </w:tc>
        <w:tc>
          <w:tcPr>
            <w:tcW w:w="5154" w:type="dxa"/>
            <w:tcBorders>
              <w:top w:val="dotted" w:sz="4" w:space="0" w:color="808080" w:themeColor="background1" w:themeShade="80"/>
              <w:left w:val="single" w:sz="8" w:space="0" w:color="auto"/>
              <w:bottom w:val="dotted" w:sz="4" w:space="0" w:color="808080" w:themeColor="background1" w:themeShade="80"/>
              <w:right w:val="single" w:sz="12" w:space="0" w:color="auto"/>
            </w:tcBorders>
            <w:shd w:val="clear" w:color="auto" w:fill="auto"/>
          </w:tcPr>
          <w:p w:rsidR="00F153A8" w:rsidRPr="0093170C" w:rsidRDefault="00F153A8" w:rsidP="003555AA">
            <w:pPr>
              <w:spacing w:after="0"/>
              <w:jc w:val="both"/>
            </w:pPr>
            <w:r w:rsidRPr="0093170C">
              <w:t>Podpora regionu pro výstavbu, zatím není podepsána dohoda o spolupráci jasně definující opatření v lokalitě</w:t>
            </w:r>
          </w:p>
        </w:tc>
      </w:tr>
      <w:tr w:rsidR="00F153A8" w:rsidRPr="0093170C" w:rsidTr="003F62D8">
        <w:tc>
          <w:tcPr>
            <w:tcW w:w="2791" w:type="dxa"/>
            <w:tcBorders>
              <w:top w:val="dotted" w:sz="4" w:space="0" w:color="808080" w:themeColor="background1" w:themeShade="80"/>
              <w:left w:val="single" w:sz="12" w:space="0" w:color="auto"/>
              <w:bottom w:val="thinThickSmallGap" w:sz="24" w:space="0" w:color="auto"/>
              <w:right w:val="single" w:sz="8" w:space="0" w:color="auto"/>
            </w:tcBorders>
            <w:shd w:val="clear" w:color="auto" w:fill="auto"/>
          </w:tcPr>
          <w:p w:rsidR="00F153A8" w:rsidRPr="0093170C" w:rsidRDefault="00F153A8" w:rsidP="003555AA">
            <w:pPr>
              <w:spacing w:after="0"/>
              <w:jc w:val="both"/>
            </w:pPr>
            <w:r w:rsidRPr="0093170C">
              <w:t xml:space="preserve">Ostatní omezení </w:t>
            </w:r>
          </w:p>
        </w:tc>
        <w:tc>
          <w:tcPr>
            <w:tcW w:w="5154" w:type="dxa"/>
            <w:tcBorders>
              <w:top w:val="dotted" w:sz="4" w:space="0" w:color="808080" w:themeColor="background1" w:themeShade="80"/>
              <w:left w:val="single" w:sz="8" w:space="0" w:color="auto"/>
              <w:bottom w:val="thinThickSmallGap" w:sz="24" w:space="0" w:color="auto"/>
              <w:right w:val="single" w:sz="12" w:space="0" w:color="auto"/>
            </w:tcBorders>
            <w:shd w:val="clear" w:color="auto" w:fill="auto"/>
          </w:tcPr>
          <w:p w:rsidR="00F153A8" w:rsidRPr="0093170C" w:rsidRDefault="00F153A8" w:rsidP="003555AA">
            <w:pPr>
              <w:spacing w:after="0"/>
              <w:jc w:val="both"/>
            </w:pPr>
            <w:r w:rsidRPr="0093170C">
              <w:t>Nejsou</w:t>
            </w:r>
          </w:p>
        </w:tc>
      </w:tr>
    </w:tbl>
    <w:p w:rsidR="00DB6DBA" w:rsidRDefault="00DB6DBA" w:rsidP="002E4520">
      <w:pPr>
        <w:ind w:left="576"/>
      </w:pPr>
    </w:p>
    <w:p w:rsidR="000064B2" w:rsidRPr="00EB2CCF" w:rsidRDefault="000064B2" w:rsidP="006047CA">
      <w:pPr>
        <w:pStyle w:val="Nadpis2"/>
      </w:pPr>
      <w:bookmarkStart w:id="185" w:name="_Toc407035574"/>
      <w:bookmarkStart w:id="186" w:name="_Toc420056013"/>
      <w:r w:rsidRPr="00EB2CCF">
        <w:t xml:space="preserve">Lidské zdroje, věková a vzdělanostní struktura, </w:t>
      </w:r>
      <w:r w:rsidRPr="006047CA">
        <w:t>kvalita</w:t>
      </w:r>
      <w:bookmarkEnd w:id="185"/>
      <w:bookmarkEnd w:id="186"/>
    </w:p>
    <w:p w:rsidR="00EB2CCF" w:rsidRPr="00B25CB2" w:rsidRDefault="00EB2CCF" w:rsidP="00EB2CCF">
      <w:pPr>
        <w:pStyle w:val="Nadpis3"/>
      </w:pPr>
      <w:bookmarkStart w:id="187" w:name="_Toc407035575"/>
      <w:bookmarkStart w:id="188" w:name="_Toc420056014"/>
      <w:r w:rsidRPr="00B25CB2">
        <w:t>Současný stav</w:t>
      </w:r>
      <w:r w:rsidR="009A5002">
        <w:t xml:space="preserve"> podpory vzdělávání v oblasti JE</w:t>
      </w:r>
      <w:bookmarkEnd w:id="187"/>
      <w:bookmarkEnd w:id="188"/>
    </w:p>
    <w:p w:rsidR="00EB2CCF" w:rsidRDefault="00EB2CCF" w:rsidP="00EB2CCF">
      <w:pPr>
        <w:jc w:val="both"/>
        <w:rPr>
          <w:rFonts w:eastAsiaTheme="majorEastAsia"/>
          <w:color w:val="000000" w:themeColor="text1"/>
          <w:kern w:val="24"/>
        </w:rPr>
      </w:pPr>
      <w:r w:rsidRPr="00E21156">
        <w:rPr>
          <w:rFonts w:eastAsiaTheme="majorEastAsia"/>
          <w:color w:val="000000" w:themeColor="text1"/>
          <w:kern w:val="24"/>
        </w:rPr>
        <w:t>V návaznosti na vyhlášení Československé republiky z roku 1955 ohledně mírového jaderného programu s cílem postavit 1. vlastní jadernou elektrárnu v Jaslovských Bohunicích byly z rozhodnutí tehdejší vlády zřízeny dvě zcela nové školské instituce (Fakulta technické a jaderné fyziky na UK v</w:t>
      </w:r>
      <w:r>
        <w:rPr>
          <w:rFonts w:eastAsiaTheme="majorEastAsia"/>
          <w:color w:val="000000" w:themeColor="text1"/>
          <w:kern w:val="24"/>
        </w:rPr>
        <w:t> </w:t>
      </w:r>
      <w:r w:rsidRPr="00E21156">
        <w:rPr>
          <w:rFonts w:eastAsiaTheme="majorEastAsia"/>
          <w:color w:val="000000" w:themeColor="text1"/>
          <w:kern w:val="24"/>
        </w:rPr>
        <w:t>Praze - od roku 1959 součást ČVUT v Praze, Střední průmyslová škola jaderné techniky v Praze), založen nový výzkumný ústav s nezbytnou experimentální základnou (Ústav jaderného výzkumu v</w:t>
      </w:r>
      <w:r>
        <w:rPr>
          <w:rFonts w:eastAsiaTheme="majorEastAsia"/>
          <w:color w:val="000000" w:themeColor="text1"/>
          <w:kern w:val="24"/>
        </w:rPr>
        <w:t> </w:t>
      </w:r>
      <w:r w:rsidRPr="00E21156">
        <w:rPr>
          <w:rFonts w:eastAsiaTheme="majorEastAsia"/>
          <w:color w:val="000000" w:themeColor="text1"/>
          <w:kern w:val="24"/>
        </w:rPr>
        <w:t xml:space="preserve">Řeži u Prahy) a zřízeno několik specializovaných pracovišť významných strojírenských podniků. Ta nejvýznamnější pracoviště byla zřízena ve Škodě </w:t>
      </w:r>
      <w:r>
        <w:rPr>
          <w:rFonts w:eastAsiaTheme="majorEastAsia"/>
          <w:color w:val="000000" w:themeColor="text1"/>
          <w:kern w:val="24"/>
        </w:rPr>
        <w:t xml:space="preserve">Plzeň (Jaderná projekce Vochov </w:t>
      </w:r>
      <w:r w:rsidRPr="00E21156">
        <w:rPr>
          <w:rFonts w:eastAsiaTheme="majorEastAsia"/>
          <w:color w:val="000000" w:themeColor="text1"/>
          <w:kern w:val="24"/>
        </w:rPr>
        <w:t>a zkušební pracoviště Bolevec), jako zárodky budoucího závod</w:t>
      </w:r>
      <w:r w:rsidR="00EA0E7A">
        <w:rPr>
          <w:rFonts w:eastAsiaTheme="majorEastAsia"/>
          <w:color w:val="000000" w:themeColor="text1"/>
          <w:kern w:val="24"/>
        </w:rPr>
        <w:t>u Škoda jaderné strojírenství.</w:t>
      </w:r>
    </w:p>
    <w:p w:rsidR="00EB2CCF" w:rsidRPr="00E21156" w:rsidRDefault="00EB2CCF" w:rsidP="003555AA">
      <w:pPr>
        <w:keepNext/>
        <w:jc w:val="both"/>
        <w:rPr>
          <w:rFonts w:eastAsiaTheme="majorEastAsia"/>
          <w:color w:val="000000" w:themeColor="text1"/>
          <w:kern w:val="24"/>
        </w:rPr>
      </w:pPr>
      <w:r>
        <w:rPr>
          <w:rFonts w:eastAsiaTheme="majorEastAsia"/>
          <w:color w:val="000000" w:themeColor="text1"/>
          <w:kern w:val="24"/>
        </w:rPr>
        <w:lastRenderedPageBreak/>
        <w:t>Současný stav lze charakterizovat násled</w:t>
      </w:r>
      <w:r w:rsidR="003555AA">
        <w:rPr>
          <w:rFonts w:eastAsiaTheme="majorEastAsia"/>
          <w:color w:val="000000" w:themeColor="text1"/>
          <w:kern w:val="24"/>
        </w:rPr>
        <w:t>ov</w:t>
      </w:r>
      <w:r>
        <w:rPr>
          <w:rFonts w:eastAsiaTheme="majorEastAsia"/>
          <w:color w:val="000000" w:themeColor="text1"/>
          <w:kern w:val="24"/>
        </w:rPr>
        <w:t>ně:</w:t>
      </w:r>
    </w:p>
    <w:p w:rsidR="00413652" w:rsidRDefault="00EB2CCF" w:rsidP="00413652">
      <w:pPr>
        <w:ind w:left="284" w:hanging="284"/>
        <w:jc w:val="both"/>
        <w:rPr>
          <w:rFonts w:eastAsiaTheme="majorEastAsia"/>
          <w:color w:val="000000" w:themeColor="text1"/>
          <w:kern w:val="24"/>
        </w:rPr>
      </w:pPr>
      <w:r w:rsidRPr="00E21156">
        <w:rPr>
          <w:rFonts w:eastAsiaTheme="majorEastAsia"/>
          <w:color w:val="000000" w:themeColor="text1"/>
          <w:kern w:val="24"/>
        </w:rPr>
        <w:t xml:space="preserve">a) cílená podpora výuky a výběru studentů na zbylá vzdělávací pracoviště schopná připravit absolventy pro výstavbu a provoz jaderných zařízení nové generace je minimální, respektive </w:t>
      </w:r>
      <w:r w:rsidR="007B48BD">
        <w:rPr>
          <w:rFonts w:eastAsiaTheme="majorEastAsia"/>
          <w:color w:val="000000" w:themeColor="text1"/>
          <w:kern w:val="24"/>
        </w:rPr>
        <w:t>je</w:t>
      </w:r>
      <w:r w:rsidR="007B48BD" w:rsidRPr="00E21156">
        <w:rPr>
          <w:rFonts w:eastAsiaTheme="majorEastAsia"/>
          <w:color w:val="000000" w:themeColor="text1"/>
          <w:kern w:val="24"/>
        </w:rPr>
        <w:t xml:space="preserve"> </w:t>
      </w:r>
      <w:r w:rsidRPr="00E21156">
        <w:rPr>
          <w:rFonts w:eastAsiaTheme="majorEastAsia"/>
          <w:color w:val="000000" w:themeColor="text1"/>
          <w:kern w:val="24"/>
        </w:rPr>
        <w:t>ze strany státu nulová. Příspěvek státu na VŠ studenty se řídí tzv. koeficientem ekonomické náročnosti, který je nejvyšší pro umělecky zaměřené školy (</w:t>
      </w:r>
      <w:proofErr w:type="spellStart"/>
      <w:r w:rsidRPr="00E21156">
        <w:rPr>
          <w:rFonts w:eastAsiaTheme="majorEastAsia"/>
          <w:color w:val="000000" w:themeColor="text1"/>
          <w:kern w:val="24"/>
        </w:rPr>
        <w:t>koef</w:t>
      </w:r>
      <w:proofErr w:type="spellEnd"/>
      <w:r w:rsidRPr="00E21156">
        <w:rPr>
          <w:rFonts w:eastAsiaTheme="majorEastAsia"/>
          <w:color w:val="000000" w:themeColor="text1"/>
          <w:kern w:val="24"/>
        </w:rPr>
        <w:t>. 3,5 a výše), dále pak v pořadí chemickotechnologická zaměření (</w:t>
      </w:r>
      <w:proofErr w:type="spellStart"/>
      <w:r w:rsidRPr="00E21156">
        <w:rPr>
          <w:rFonts w:eastAsiaTheme="majorEastAsia"/>
          <w:color w:val="000000" w:themeColor="text1"/>
          <w:kern w:val="24"/>
        </w:rPr>
        <w:t>koef</w:t>
      </w:r>
      <w:proofErr w:type="spellEnd"/>
      <w:r w:rsidRPr="00E21156">
        <w:rPr>
          <w:rFonts w:eastAsiaTheme="majorEastAsia"/>
          <w:color w:val="000000" w:themeColor="text1"/>
          <w:kern w:val="24"/>
        </w:rPr>
        <w:t>. 3,2), přírodovědná zaměření (2,8), architektura (2,25 a výše) a pak následují technické školy bez rozdílu zaměření (</w:t>
      </w:r>
      <w:proofErr w:type="spellStart"/>
      <w:r w:rsidRPr="00E21156">
        <w:rPr>
          <w:rFonts w:eastAsiaTheme="majorEastAsia"/>
          <w:color w:val="000000" w:themeColor="text1"/>
          <w:kern w:val="24"/>
        </w:rPr>
        <w:t>koef</w:t>
      </w:r>
      <w:proofErr w:type="spellEnd"/>
      <w:r w:rsidRPr="00E21156">
        <w:rPr>
          <w:rFonts w:eastAsiaTheme="majorEastAsia"/>
          <w:color w:val="000000" w:themeColor="text1"/>
          <w:kern w:val="24"/>
        </w:rPr>
        <w:t>. 1,65).  Navíc studenti nejsou žádným způsobem pro studium technických zaměření motivováni a současné restrikce počtů studentů se týkají všech typů škol stejně – tedy i technických.</w:t>
      </w:r>
    </w:p>
    <w:p w:rsidR="00EB2CCF" w:rsidRPr="00E21156" w:rsidRDefault="00413652" w:rsidP="00413652">
      <w:pPr>
        <w:ind w:left="284" w:hanging="284"/>
        <w:jc w:val="both"/>
        <w:rPr>
          <w:rFonts w:eastAsiaTheme="majorEastAsia"/>
          <w:color w:val="000000" w:themeColor="text1"/>
          <w:kern w:val="24"/>
        </w:rPr>
      </w:pPr>
      <w:r>
        <w:rPr>
          <w:rFonts w:eastAsiaTheme="majorEastAsia"/>
          <w:color w:val="000000" w:themeColor="text1"/>
          <w:kern w:val="24"/>
        </w:rPr>
        <w:t>b) p</w:t>
      </w:r>
      <w:r w:rsidR="00EB2CCF">
        <w:rPr>
          <w:rFonts w:eastAsiaTheme="majorEastAsia"/>
          <w:color w:val="000000" w:themeColor="text1"/>
          <w:kern w:val="24"/>
        </w:rPr>
        <w:t xml:space="preserve">odpora </w:t>
      </w:r>
      <w:proofErr w:type="spellStart"/>
      <w:r w:rsidR="00EB2CCF">
        <w:rPr>
          <w:rFonts w:eastAsiaTheme="majorEastAsia"/>
          <w:color w:val="000000" w:themeColor="text1"/>
          <w:kern w:val="24"/>
        </w:rPr>
        <w:t>VaV</w:t>
      </w:r>
      <w:proofErr w:type="spellEnd"/>
      <w:r w:rsidR="00EB2CCF">
        <w:rPr>
          <w:rFonts w:eastAsiaTheme="majorEastAsia"/>
          <w:color w:val="000000" w:themeColor="text1"/>
          <w:kern w:val="24"/>
        </w:rPr>
        <w:t xml:space="preserve"> jde</w:t>
      </w:r>
      <w:r w:rsidR="00EB2CCF" w:rsidRPr="00E21156">
        <w:rPr>
          <w:rFonts w:eastAsiaTheme="majorEastAsia"/>
          <w:color w:val="000000" w:themeColor="text1"/>
          <w:kern w:val="24"/>
        </w:rPr>
        <w:t xml:space="preserve"> v současné době téměř výhradně prostřednictvím veřejných soutěží vyhlašovaných </w:t>
      </w:r>
      <w:r w:rsidR="002262F2">
        <w:rPr>
          <w:rFonts w:eastAsiaTheme="majorEastAsia"/>
          <w:color w:val="000000" w:themeColor="text1"/>
          <w:kern w:val="24"/>
        </w:rPr>
        <w:t>Technologickou agenturou ČR (TA ČR) a Grantovou agenturou ČR</w:t>
      </w:r>
      <w:r w:rsidR="00EB2CCF" w:rsidRPr="00E21156">
        <w:rPr>
          <w:rFonts w:eastAsiaTheme="majorEastAsia"/>
          <w:color w:val="000000" w:themeColor="text1"/>
          <w:kern w:val="24"/>
        </w:rPr>
        <w:t xml:space="preserve"> a vybranými ministerstvy, investiční prostředky ze strukturálních fondů jsou přidělo</w:t>
      </w:r>
      <w:r w:rsidR="00EB2CCF">
        <w:rPr>
          <w:rFonts w:eastAsiaTheme="majorEastAsia"/>
          <w:color w:val="000000" w:themeColor="text1"/>
          <w:kern w:val="24"/>
        </w:rPr>
        <w:t>vány stejným způsobem a navíc</w:t>
      </w:r>
      <w:r w:rsidR="00EB2CCF" w:rsidRPr="00E21156">
        <w:rPr>
          <w:rFonts w:eastAsiaTheme="majorEastAsia"/>
          <w:color w:val="000000" w:themeColor="text1"/>
          <w:kern w:val="24"/>
        </w:rPr>
        <w:t xml:space="preserve"> s významným restrikčním omezením pražských vzdělávacích a výzkumných institucí.</w:t>
      </w:r>
    </w:p>
    <w:p w:rsidR="00EB2CCF" w:rsidRPr="00E21156" w:rsidRDefault="00EB2CCF" w:rsidP="00EB2CCF">
      <w:pPr>
        <w:jc w:val="both"/>
        <w:rPr>
          <w:rFonts w:eastAsiaTheme="majorEastAsia"/>
          <w:color w:val="000000" w:themeColor="text1"/>
          <w:kern w:val="24"/>
        </w:rPr>
      </w:pPr>
      <w:r>
        <w:rPr>
          <w:rFonts w:eastAsiaTheme="majorEastAsia"/>
          <w:color w:val="000000" w:themeColor="text1"/>
          <w:kern w:val="24"/>
        </w:rPr>
        <w:t xml:space="preserve">Příspěvek </w:t>
      </w:r>
      <w:r w:rsidRPr="00E21156">
        <w:rPr>
          <w:rFonts w:eastAsiaTheme="majorEastAsia"/>
          <w:color w:val="000000" w:themeColor="text1"/>
          <w:kern w:val="24"/>
        </w:rPr>
        <w:t>na výzkum je udělován</w:t>
      </w:r>
      <w:r w:rsidR="004B7F51">
        <w:rPr>
          <w:rFonts w:eastAsiaTheme="majorEastAsia"/>
          <w:color w:val="000000" w:themeColor="text1"/>
          <w:kern w:val="24"/>
        </w:rPr>
        <w:t xml:space="preserve"> dle principů zásluhovosti</w:t>
      </w:r>
      <w:r w:rsidRPr="00E21156">
        <w:rPr>
          <w:rFonts w:eastAsiaTheme="majorEastAsia"/>
          <w:color w:val="000000" w:themeColor="text1"/>
          <w:kern w:val="24"/>
        </w:rPr>
        <w:t>, a je označen jako dotace, což opět významně ovlivňuje vzdělávací proces, protože tyto prostředky nelze pro vzdělávání použít.</w:t>
      </w:r>
    </w:p>
    <w:p w:rsidR="00EB2CCF" w:rsidRPr="00E21156" w:rsidRDefault="00EB2CCF" w:rsidP="00EB2CCF">
      <w:pPr>
        <w:jc w:val="both"/>
        <w:rPr>
          <w:rFonts w:eastAsiaTheme="majorEastAsia"/>
          <w:color w:val="000000" w:themeColor="text1"/>
          <w:kern w:val="24"/>
        </w:rPr>
      </w:pPr>
      <w:proofErr w:type="spellStart"/>
      <w:r w:rsidRPr="00E21156">
        <w:rPr>
          <w:rFonts w:eastAsiaTheme="majorEastAsia"/>
          <w:color w:val="000000" w:themeColor="text1"/>
          <w:kern w:val="24"/>
        </w:rPr>
        <w:t>Nezásluhově</w:t>
      </w:r>
      <w:proofErr w:type="spellEnd"/>
      <w:r w:rsidRPr="00E21156">
        <w:rPr>
          <w:rFonts w:eastAsiaTheme="majorEastAsia"/>
          <w:color w:val="000000" w:themeColor="text1"/>
          <w:kern w:val="24"/>
        </w:rPr>
        <w:t xml:space="preserve"> přidělované prostředky ze státního rozpočtu (které by mohly být eventuálně státem věc</w:t>
      </w:r>
      <w:r w:rsidR="004A035F">
        <w:rPr>
          <w:rFonts w:eastAsiaTheme="majorEastAsia"/>
          <w:color w:val="000000" w:themeColor="text1"/>
          <w:kern w:val="24"/>
        </w:rPr>
        <w:t xml:space="preserve">ně usměrňovány) dostává pouze </w:t>
      </w:r>
      <w:r w:rsidR="00AF63EB">
        <w:rPr>
          <w:rFonts w:eastAsiaTheme="majorEastAsia"/>
          <w:color w:val="000000" w:themeColor="text1"/>
          <w:kern w:val="24"/>
        </w:rPr>
        <w:t>Akademie věd ČR</w:t>
      </w:r>
      <w:r w:rsidRPr="00E21156">
        <w:rPr>
          <w:rFonts w:eastAsiaTheme="majorEastAsia"/>
          <w:color w:val="000000" w:themeColor="text1"/>
          <w:kern w:val="24"/>
        </w:rPr>
        <w:t>. Ta</w:t>
      </w:r>
      <w:r w:rsidR="004A035F">
        <w:rPr>
          <w:rFonts w:eastAsiaTheme="majorEastAsia"/>
          <w:color w:val="000000" w:themeColor="text1"/>
          <w:kern w:val="24"/>
        </w:rPr>
        <w:t xml:space="preserve"> </w:t>
      </w:r>
      <w:r w:rsidRPr="00E21156">
        <w:rPr>
          <w:rFonts w:eastAsiaTheme="majorEastAsia"/>
          <w:color w:val="000000" w:themeColor="text1"/>
          <w:kern w:val="24"/>
        </w:rPr>
        <w:t>však bude obtížně zajišťovat konkrétní přípravu odborníků pro velmi specifickou a vysoce kvalifikovanou činnost pro praktické užití.</w:t>
      </w:r>
    </w:p>
    <w:p w:rsidR="00EB2CCF" w:rsidRPr="00E21156" w:rsidRDefault="00855233" w:rsidP="00EB2CCF">
      <w:pPr>
        <w:jc w:val="both"/>
        <w:rPr>
          <w:rFonts w:eastAsiaTheme="majorEastAsia"/>
          <w:color w:val="000000" w:themeColor="text1"/>
          <w:kern w:val="24"/>
        </w:rPr>
      </w:pPr>
      <w:r>
        <w:rPr>
          <w:rFonts w:eastAsiaTheme="majorEastAsia"/>
          <w:color w:val="000000" w:themeColor="text1"/>
          <w:kern w:val="24"/>
        </w:rPr>
        <w:t>S</w:t>
      </w:r>
      <w:r w:rsidR="00EB2CCF" w:rsidRPr="00E21156">
        <w:rPr>
          <w:rFonts w:eastAsiaTheme="majorEastAsia"/>
          <w:color w:val="000000" w:themeColor="text1"/>
          <w:kern w:val="24"/>
        </w:rPr>
        <w:t xml:space="preserve">oučasná příprava odborníků pro jaderné zdroje je natolik specifická a komplexní, že ani jednotlivé evropské vzdělávací instituce nejsou schopny zajišťovat celou šíři přípravy. Vzdělávací instituce se dobrovolně sdružují do vzdělávacích společenství, a to včetně výzkumných institucí a hlavních společností, které jaderné elektrárny projektují a dodávají (ENEN – </w:t>
      </w:r>
      <w:proofErr w:type="spellStart"/>
      <w:r w:rsidR="00EB2CCF" w:rsidRPr="00E21156">
        <w:rPr>
          <w:rFonts w:eastAsiaTheme="majorEastAsia"/>
          <w:color w:val="000000" w:themeColor="text1"/>
          <w:kern w:val="24"/>
        </w:rPr>
        <w:t>European</w:t>
      </w:r>
      <w:proofErr w:type="spellEnd"/>
      <w:r w:rsidR="00EB2CCF" w:rsidRPr="00E21156">
        <w:rPr>
          <w:rFonts w:eastAsiaTheme="majorEastAsia"/>
          <w:color w:val="000000" w:themeColor="text1"/>
          <w:kern w:val="24"/>
        </w:rPr>
        <w:t xml:space="preserve"> </w:t>
      </w:r>
      <w:proofErr w:type="spellStart"/>
      <w:r w:rsidR="00EB2CCF" w:rsidRPr="00E21156">
        <w:rPr>
          <w:rFonts w:eastAsiaTheme="majorEastAsia"/>
          <w:color w:val="000000" w:themeColor="text1"/>
          <w:kern w:val="24"/>
        </w:rPr>
        <w:t>Nuclear</w:t>
      </w:r>
      <w:proofErr w:type="spellEnd"/>
      <w:r w:rsidR="00EB2CCF" w:rsidRPr="00E21156">
        <w:rPr>
          <w:rFonts w:eastAsiaTheme="majorEastAsia"/>
          <w:color w:val="000000" w:themeColor="text1"/>
          <w:kern w:val="24"/>
        </w:rPr>
        <w:t xml:space="preserve"> </w:t>
      </w:r>
      <w:proofErr w:type="spellStart"/>
      <w:r w:rsidR="00EB2CCF" w:rsidRPr="00E21156">
        <w:rPr>
          <w:rFonts w:eastAsiaTheme="majorEastAsia"/>
          <w:color w:val="000000" w:themeColor="text1"/>
          <w:kern w:val="24"/>
        </w:rPr>
        <w:t>Education</w:t>
      </w:r>
      <w:proofErr w:type="spellEnd"/>
      <w:r w:rsidR="00EB2CCF" w:rsidRPr="00E21156">
        <w:rPr>
          <w:rFonts w:eastAsiaTheme="majorEastAsia"/>
          <w:color w:val="000000" w:themeColor="text1"/>
          <w:kern w:val="24"/>
        </w:rPr>
        <w:t xml:space="preserve"> Network).  Dobrovolná báze však pouze zlepšuje obecnou informovanost, ale nemůže zajistit cílené vzdělávání pro jadernou energetiku, včetně dlouhodobé přípravy odborníků pro TSO (licencování a státní dozor).</w:t>
      </w:r>
      <w:r w:rsidR="00EB2CCF">
        <w:rPr>
          <w:rFonts w:eastAsiaTheme="majorEastAsia"/>
          <w:color w:val="000000" w:themeColor="text1"/>
          <w:kern w:val="24"/>
        </w:rPr>
        <w:t xml:space="preserve"> Navíc ze</w:t>
      </w:r>
      <w:r w:rsidR="00EB2CCF" w:rsidRPr="00E21156">
        <w:rPr>
          <w:rFonts w:eastAsiaTheme="majorEastAsia"/>
          <w:color w:val="000000" w:themeColor="text1"/>
          <w:kern w:val="24"/>
        </w:rPr>
        <w:t xml:space="preserve"> všech výše uvedených aspektů je zřejmé, že stát má nezastupitelnou roli v realizaci energetick</w:t>
      </w:r>
      <w:r w:rsidR="00EB2CCF">
        <w:rPr>
          <w:rFonts w:eastAsiaTheme="majorEastAsia"/>
          <w:color w:val="000000" w:themeColor="text1"/>
          <w:kern w:val="24"/>
        </w:rPr>
        <w:t>é doktríny v oblasti vzdělávání</w:t>
      </w:r>
      <w:r w:rsidR="00EB2CCF" w:rsidRPr="00E21156">
        <w:rPr>
          <w:rFonts w:eastAsiaTheme="majorEastAsia"/>
          <w:color w:val="000000" w:themeColor="text1"/>
          <w:kern w:val="24"/>
        </w:rPr>
        <w:t>, vědy a výzkumu, pokud je v ní obsažen i rozvoj jaderné energetiky.</w:t>
      </w:r>
    </w:p>
    <w:p w:rsidR="00EB2CCF" w:rsidRDefault="008D4784" w:rsidP="00EB2CCF">
      <w:pPr>
        <w:pStyle w:val="Nadpis3"/>
      </w:pPr>
      <w:bookmarkStart w:id="189" w:name="_Toc407035576"/>
      <w:bookmarkStart w:id="190" w:name="_Toc420056015"/>
      <w:r>
        <w:t>Stav a p</w:t>
      </w:r>
      <w:r w:rsidR="009A5002">
        <w:t xml:space="preserve">otřeby </w:t>
      </w:r>
      <w:r>
        <w:t xml:space="preserve">rozvoje lidských zdrojů pro zajištění </w:t>
      </w:r>
      <w:r w:rsidR="009A5002">
        <w:t xml:space="preserve">dlouhodobě </w:t>
      </w:r>
      <w:r w:rsidR="00EB2CCF">
        <w:t>udržiteln</w:t>
      </w:r>
      <w:r w:rsidR="009A5002">
        <w:t>é</w:t>
      </w:r>
      <w:r w:rsidR="00EB2CCF">
        <w:t xml:space="preserve"> JE</w:t>
      </w:r>
      <w:bookmarkEnd w:id="189"/>
      <w:bookmarkEnd w:id="190"/>
    </w:p>
    <w:p w:rsidR="00EB2CCF" w:rsidRPr="00EB2CCF" w:rsidRDefault="00EB2CCF" w:rsidP="00EB2CCF">
      <w:pPr>
        <w:rPr>
          <w:u w:val="single"/>
        </w:rPr>
      </w:pPr>
      <w:r w:rsidRPr="00EB2CCF">
        <w:rPr>
          <w:u w:val="single"/>
        </w:rPr>
        <w:t>Vývoj zaměstnanosti, vzdělanostní a věková struktura v energetice včetně jaderné</w:t>
      </w:r>
    </w:p>
    <w:p w:rsidR="00FB0D80" w:rsidRDefault="00EB2CCF" w:rsidP="00EB2CCF">
      <w:pPr>
        <w:jc w:val="both"/>
      </w:pPr>
      <w:r w:rsidRPr="00E21156">
        <w:t>Zaměstnanost v odvětví výroby, přenosu a rozvodu elektřiny v letech 2008-2013 pozvolna rostla a</w:t>
      </w:r>
      <w:r>
        <w:t> </w:t>
      </w:r>
      <w:r w:rsidRPr="00E21156">
        <w:t>v roce 2013 dosáhla téměř 40 tisíc osob. Odvětví, která mají relativně silnou vazbu na energetický sektor, zaznamenala naopak pokles zaměstnanosti, který se nejvíce projevil v odvětví výroby motorů a turbín (NACE 2811) a v odvětví výroby elektrických rozvodných a kontrolních zařízení (NACE 2712). Celkově bylo v roce 2013 zaměstnáno v pěti vymezených odvětvích (kromě již zmíněných dvou dále výstavba inženýr</w:t>
      </w:r>
      <w:r>
        <w:t xml:space="preserve">ských sítí </w:t>
      </w:r>
      <w:r w:rsidRPr="00E21156">
        <w:t>– NACE 4222, výroba elektrických motor</w:t>
      </w:r>
      <w:r>
        <w:t xml:space="preserve">ů, generátorů a transformátorů </w:t>
      </w:r>
      <w:r w:rsidRPr="00E21156">
        <w:t>-NACE  2711, výroba parních kotlů NACE – 253)</w:t>
      </w:r>
      <w:r>
        <w:t xml:space="preserve"> přibližně 76 tisíc osob</w:t>
      </w:r>
      <w:r w:rsidRPr="00E21156">
        <w:t>.</w:t>
      </w:r>
    </w:p>
    <w:p w:rsidR="00FB0D80" w:rsidRDefault="00FB0D80">
      <w:r>
        <w:br w:type="page"/>
      </w:r>
    </w:p>
    <w:p w:rsidR="00EB2CCF" w:rsidRPr="00E21156" w:rsidRDefault="00EB2CCF" w:rsidP="00EB2CCF">
      <w:pPr>
        <w:jc w:val="both"/>
      </w:pPr>
      <w:r w:rsidRPr="00E21156">
        <w:lastRenderedPageBreak/>
        <w:t xml:space="preserve">V samotné jaderné energetice (lokalita Dukovany a lokalita Temelín) bylo v roce 2014 zaměstnáno 2270 osob, tj. cca 6 % zaměstnanosti v odvětví výroby, přenosu a rozvodu elektřiny. Ve výzkumu pro jadernou energetiku pracovalo v tomto roce 1110 osob a ve firmách vymezených jako dodavatelské firmy 6780 osob. S výjimkou výzkumu se zaměstnanost v obou segmentech jaderné energetiky v roce 2014 oproti roku 2008 zvýšila, v případě jaderných elektráren pouze velmi mírně o necelých 10 %. K poměrně výraznému nárůstu o více </w:t>
      </w:r>
      <w:r w:rsidR="000570C1">
        <w:t>než</w:t>
      </w:r>
      <w:r w:rsidRPr="00E21156">
        <w:t xml:space="preserve"> ¼ došlo u dodavatelských firem, a to zejména u společností Vítkovice </w:t>
      </w:r>
      <w:proofErr w:type="spellStart"/>
      <w:r w:rsidRPr="00E21156">
        <w:t>Power</w:t>
      </w:r>
      <w:proofErr w:type="spellEnd"/>
      <w:r w:rsidRPr="00E21156">
        <w:t xml:space="preserve"> </w:t>
      </w:r>
      <w:proofErr w:type="spellStart"/>
      <w:r w:rsidRPr="00E21156">
        <w:t>Engineering</w:t>
      </w:r>
      <w:proofErr w:type="spellEnd"/>
      <w:r w:rsidRPr="00E21156">
        <w:t xml:space="preserve"> a Škoda JS. Podíl zaměstnanců pracujících výhradně pro jadernou energetiku je však v případě výzkumu a zejména u dodavatelských firem obtížně </w:t>
      </w:r>
      <w:r w:rsidR="007B48BD" w:rsidRPr="00E21156">
        <w:t>odhadnuteln</w:t>
      </w:r>
      <w:r w:rsidR="007B48BD">
        <w:t>ý</w:t>
      </w:r>
      <w:r w:rsidRPr="00E21156">
        <w:t>, nicméně lze předpokládat, že s výjimko</w:t>
      </w:r>
      <w:r w:rsidR="00D22FE5">
        <w:t>u Škody JS to bude menší část.</w:t>
      </w:r>
    </w:p>
    <w:p w:rsidR="00EB2CCF" w:rsidRPr="00E21156" w:rsidRDefault="00EB2CCF" w:rsidP="00EB2CCF">
      <w:pPr>
        <w:jc w:val="both"/>
        <w:rPr>
          <w:spacing w:val="-2"/>
        </w:rPr>
      </w:pPr>
      <w:r w:rsidRPr="00E21156">
        <w:rPr>
          <w:spacing w:val="-2"/>
        </w:rPr>
        <w:t xml:space="preserve">V odvětví výroba, přenos a rozvod elektřiny dochází k rychlejšímu stárnutí než ve vymezených souvisejících odvětvích i než ve zbývajících odvětvích ekonomiky jako celku. Podíl zaměstnanců starších než 51 let dosáhl v průměru let 2012-2013 28 % na rozdíl od 25 % v souvisejících odvětvích a 26 % </w:t>
      </w:r>
      <w:r w:rsidRPr="00E21156">
        <w:rPr>
          <w:spacing w:val="-4"/>
        </w:rPr>
        <w:t>v ostatních odvětvích. Tento negativní trend v odvětví výroba, přenos a rozvod elektřiny je do určité míry vyvážen mírně se zvyšujícím podílem nejmladší generace zaměstnanců do 30 let, který se zvýšil na 18 %.</w:t>
      </w:r>
      <w:r w:rsidRPr="00E21156">
        <w:rPr>
          <w:spacing w:val="-2"/>
        </w:rPr>
        <w:t xml:space="preserve"> </w:t>
      </w:r>
    </w:p>
    <w:p w:rsidR="00EB2CCF" w:rsidRPr="00E21156" w:rsidRDefault="00EB2CCF" w:rsidP="00EB2CCF">
      <w:pPr>
        <w:jc w:val="both"/>
      </w:pPr>
      <w:r w:rsidRPr="00E21156">
        <w:t>V samotné jaderné energetice se stárnutí zaměstnanců projevuje vzhledem k velké stabilitě zaměstnanců ještě výrazněji, zaměstnanci starší 50 let tvoří 40 % celkové zaměstnanosti. Jaderná energetika v posledních letech zaznamenala příliv mladých vysokoškolsky vzdělaných zaměstnanců a v jeho důsledku se relace „starší“ zaměstnanci (51+) vs. „mladí</w:t>
      </w:r>
      <w:r w:rsidR="003555AA">
        <w:t>“</w:t>
      </w:r>
      <w:r w:rsidRPr="00E21156">
        <w:t xml:space="preserve"> zaměstnanci (do 30 let) v této skupině zaměstnanců výrazně zlepšila z 8:1 v roce 2005 na cca 2,4:1 v roce 2013. Tento příznivý vývoj byl umožněn nárůstem počtu absolventů technických</w:t>
      </w:r>
      <w:r>
        <w:t xml:space="preserve"> oborů</w:t>
      </w:r>
      <w:r w:rsidRPr="00E21156">
        <w:t xml:space="preserve">, který v důsledku nepříznivého demografického vývoje již nebude pokračovat.  Počet studentů technických </w:t>
      </w:r>
      <w:r w:rsidR="00FB0D80">
        <w:t>oborů se od roku 2011 snižuje.</w:t>
      </w:r>
    </w:p>
    <w:p w:rsidR="00EB2CCF" w:rsidRPr="00E21156" w:rsidRDefault="00EB2CCF" w:rsidP="00EB2CCF">
      <w:pPr>
        <w:jc w:val="both"/>
      </w:pPr>
      <w:r w:rsidRPr="00E21156">
        <w:t>I kdyby nedošlo k výstavbě nových jaderných blok</w:t>
      </w:r>
      <w:r w:rsidR="000570C1">
        <w:t>ů</w:t>
      </w:r>
      <w:r w:rsidRPr="00E21156">
        <w:t>, bude v příštích 15 letech nezbytné nahradit cca 900 pracovníků v lokalitách Dukovany a Temelín a cca 1</w:t>
      </w:r>
      <w:r>
        <w:t xml:space="preserve"> </w:t>
      </w:r>
      <w:r w:rsidRPr="00E21156">
        <w:t>700 pracovn</w:t>
      </w:r>
      <w:r>
        <w:t xml:space="preserve">íků v dodavatelských firmách. </w:t>
      </w:r>
      <w:r w:rsidRPr="00E21156">
        <w:t>Tlak na dostupnost zejména technických profesí by se výrazně zvýšil v případě jakékoli varianty rozšíření jaderných kapacit. Potřeba nových pracovníků by se v tomto případě pohybovala v řádu 4-5 tisíc osob, a to bez kapacit stavebních firem, které by se jistě na výstavbě také podstatným způsobem podílely. S ohledem na celosvětové záměry v rozvoji jaderné energetiky, kdy podle Světové jaderné asociace se plánuje výstavba 174 reaktorů a předběžně se zvažuje výstavba 301 reaktor</w:t>
      </w:r>
      <w:r w:rsidR="000570C1">
        <w:t>ů</w:t>
      </w:r>
      <w:r w:rsidRPr="00E21156">
        <w:t>, představuje znalostní kapacita českých odborníků a českých firem stále významnou konkurenční výhodu na světovém trhu. Nicméně věk odborníků, kteří se podíleli na výstavbě českých jaderných elektráren, se blíží důchodovému věku a hrozí tak ztráta cenného</w:t>
      </w:r>
      <w:r>
        <w:t xml:space="preserve"> </w:t>
      </w:r>
      <w:r w:rsidR="003555AA">
        <w:rPr>
          <w:i/>
        </w:rPr>
        <w:t>know-</w:t>
      </w:r>
      <w:r w:rsidRPr="00C223D0">
        <w:rPr>
          <w:i/>
        </w:rPr>
        <w:t>how</w:t>
      </w:r>
      <w:r>
        <w:t>.</w:t>
      </w:r>
    </w:p>
    <w:p w:rsidR="00EB2CCF" w:rsidRPr="00E21156" w:rsidRDefault="00EB2CCF" w:rsidP="00EB2CCF">
      <w:pPr>
        <w:jc w:val="both"/>
      </w:pPr>
      <w:r w:rsidRPr="00E21156">
        <w:t>Výroba, přenos a rozvod elektřiny je ve srovnání se souvisejícími odvětvími a zejména se zpracovatelským průmyslem výrazně náročnější na úroveň vzdělání zaměstnanců. Pracovníci s vysokoškolským vzděláním tvoří více jak ¼ zaměstnanců (28 %) oproti 17 % v souvisejících odvětvích a 11 % ve zpracovatelském průmyslu.</w:t>
      </w:r>
    </w:p>
    <w:p w:rsidR="00EB2CCF" w:rsidRPr="00E21156" w:rsidRDefault="00EB2CCF" w:rsidP="00EB2CCF">
      <w:pPr>
        <w:jc w:val="both"/>
      </w:pPr>
      <w:r w:rsidRPr="00E21156">
        <w:t>Jaderná energetika samotná je výrazně kvalifikačně náročnější než celkové odvětví výroby, přenosu a rozvodu elektřiny. Vysokoškoláci představují téměř ½ všech zaměstnanců a tento podíl roste dynamičtěji než v ostatních odvětvích. Případný větší důraz na rozvoj jaderné energetiky by zvýšil poptávku po vysoce kvalifikovaných pracovnících nejen pro samotnou obsluhu jaderných zařízení, ale i pro projektování, konstrukci a v návazných odvětvích distribuce ne</w:t>
      </w:r>
      <w:r w:rsidR="00D22FE5">
        <w:t>bo energetického strojírenství.</w:t>
      </w:r>
    </w:p>
    <w:p w:rsidR="00EB2CCF" w:rsidRPr="00E21156" w:rsidRDefault="00EB2CCF" w:rsidP="00EB2CCF">
      <w:pPr>
        <w:jc w:val="both"/>
      </w:pPr>
      <w:r w:rsidRPr="00E21156">
        <w:lastRenderedPageBreak/>
        <w:t xml:space="preserve">Měnící se nároky na vysokoškolské kvalifikace ve výrobě, přenosu a rozvodu elektřiny vedly ke změnám v oborech vzdělání zaměstnanců jednotlivých věkových skupin. Postupně se snižuje vzdělanostní homogenita zaměstnanců, zatímco ve skupině zaměstnanců starších </w:t>
      </w:r>
      <w:r w:rsidR="000570C1">
        <w:t xml:space="preserve">než </w:t>
      </w:r>
      <w:r w:rsidRPr="00E21156">
        <w:t>55 let je plných 84 % osob vzděláno ve čtyřech nejčastěji zastoupených oborech vzdělání, u střední generace ve věku 35-54 let je to 72 % a u mladé generace do 34 let již p</w:t>
      </w:r>
      <w:r>
        <w:t>ouze 55 % zaměstnanců. O cca ½</w:t>
      </w:r>
      <w:r w:rsidRPr="00E21156">
        <w:t xml:space="preserve"> je v mladé generaci zaměstnanců nižší zastoupení osob se vzděláním v oboru elektrotechnika a energetika a v oboru strojírenství, kovovýroba</w:t>
      </w:r>
      <w:r w:rsidR="000570C1">
        <w:t xml:space="preserve"> a</w:t>
      </w:r>
      <w:r w:rsidRPr="00E21156">
        <w:t xml:space="preserve"> metalurgie. Pronikání </w:t>
      </w:r>
      <w:r w:rsidR="00950590">
        <w:t>informačních technologií</w:t>
      </w:r>
      <w:r w:rsidRPr="00E21156">
        <w:t xml:space="preserve"> do energetického sektoru vedlo k pětinásobnému zvýšení podílu absolventů počítačových věd mezi mladými zaměstnanci ve srovnání se zaměstnanci starší generace. Absolventi ekonomického oboru jsou relativně stabilně zastoupeni v obou krajních věkových skupinách, naopak střední generace vykazuje o cca ½ vyšší podíl takto vzdělaných zaměstnanců. Vysoký podíl jedné generační skupiny v profesích vyžadujících vzdělání v příslušném oboru může indikovat vznik problému s generační obměnou této profesní skupiny. </w:t>
      </w:r>
    </w:p>
    <w:p w:rsidR="00EB2CCF" w:rsidRPr="00E21156" w:rsidRDefault="00EB2CCF" w:rsidP="00EB2CCF">
      <w:pPr>
        <w:jc w:val="both"/>
      </w:pPr>
      <w:r w:rsidRPr="00E21156">
        <w:t>Na rozdíl od profesí s vysokoškolskou úrovní vzdělání, středoškolské profese nedoznávají výrazných změn</w:t>
      </w:r>
      <w:r>
        <w:t xml:space="preserve"> a lze tudíž předpokládat, že </w:t>
      </w:r>
      <w:r w:rsidRPr="00E21156">
        <w:t>i obsahově se náplň práce mění pomaleji. U všech generací převažuje vzdělání v oboru elektrotechnika a energetika, i když v nejmladší generaci zaměstnanců podíl tohoto oboru klesá (58 % u</w:t>
      </w:r>
      <w:r>
        <w:t xml:space="preserve"> generace 55+, 47 % u generace </w:t>
      </w:r>
      <w:r w:rsidR="000570C1">
        <w:t>-</w:t>
      </w:r>
      <w:r w:rsidRPr="00E21156">
        <w:t>34). Výrazný pokles však zaznamenal podíl zaměstnanců se vzděláním v oboru strojírens</w:t>
      </w:r>
      <w:r>
        <w:t>tví, kovovýroba a metalurgie.</w:t>
      </w:r>
    </w:p>
    <w:p w:rsidR="00EB2CCF" w:rsidRPr="00E21156" w:rsidRDefault="00EB2CCF" w:rsidP="00EB2CCF">
      <w:pPr>
        <w:jc w:val="both"/>
      </w:pPr>
      <w:r w:rsidRPr="00E21156">
        <w:t>S náročností na vzdělanostní úroveň zaměstnanců jednotlivých odvětví souvisí i rozdíly v zastoupení jednotlivých profesních skupin. Profesní skupiny s vyšší úrovní vzdělání (ISCO 1-4) představují ve výrobě, přenosu a distribuci elektřiny plných 60 % celkové zaměstnanosti, v souvisejících odvětvích 47 %, zatímco ve zpracovatelském průmyslu je to pouze kolem 31</w:t>
      </w:r>
      <w:r w:rsidR="00C223D0">
        <w:t> </w:t>
      </w:r>
      <w:r w:rsidRPr="00E21156">
        <w:t>%.</w:t>
      </w:r>
    </w:p>
    <w:p w:rsidR="00EB2CCF" w:rsidRPr="00E21156" w:rsidRDefault="00EB2CCF" w:rsidP="00EB2CCF">
      <w:pPr>
        <w:jc w:val="both"/>
        <w:rPr>
          <w:spacing w:val="-2"/>
        </w:rPr>
      </w:pPr>
      <w:r w:rsidRPr="00E21156">
        <w:rPr>
          <w:spacing w:val="-2"/>
        </w:rPr>
        <w:t xml:space="preserve">Z profesního hlediska bylo vytipováno zhruba 13 technických profesních skupin nacházejících uplatnění v sektoru energetiky. Čtyři z nich jsou zastoupeny v energetickém sektoru (energetika + související odvětví) natolik významně, že lze hovořit o profesích ve značné míře odvětvově specifických a klíčových pro energetiku. Z vysoce kvalifikovaných profesí sem patří inženýři elektrotechnici a energetici a dále techničtí pracovníci v oborech elektrotechniky a energetiky. Z méně kvalifikačně náročných profesí to jsou elektromechanici a obsluha strojů a zařízení. K  významným profesím pro energetiku se řadí rovněž strojírenští technici, strojní inženýři a dále mistři a příbuzní pracovníci ve výrobě, jejichž vázanost na energetiku však již není tak výrazná. Zaměstnanost ve většině z těchto profesí zaznamenala v posledních letech i přes krizové období buď mírný vzestup, nebo alespoň zůstala na předchozí úrovni, ve skupině strojních inženýrů je patrná dokonce výrazná expanze. </w:t>
      </w:r>
    </w:p>
    <w:p w:rsidR="00EB2CCF" w:rsidRPr="00E21156" w:rsidRDefault="00EB2CCF" w:rsidP="00EB2CCF">
      <w:pPr>
        <w:jc w:val="both"/>
      </w:pPr>
      <w:r w:rsidRPr="00E21156">
        <w:t>V rámci jednotlivých technických profesí je zřetelně vidět proces stárnutí, který je dokonce rychlejší než i tak vysoký průměr sektoru energetiky. Závažným zjištěním je skutečnost, že mezi věkově nejstarší patří právě pracovníci v profesích, které jsou početně velmi rozsáhlé a klíčové pro rozvoj energetiky</w:t>
      </w:r>
      <w:r w:rsidR="003555AA">
        <w:t>,</w:t>
      </w:r>
      <w:r w:rsidRPr="00E21156">
        <w:t xml:space="preserve"> jako jsou inženýři elektrotechnici a energetici</w:t>
      </w:r>
      <w:r w:rsidR="003555AA">
        <w:t>,</w:t>
      </w:r>
      <w:r w:rsidRPr="00E21156">
        <w:t xml:space="preserve"> </w:t>
      </w:r>
      <w:r w:rsidR="003555AA">
        <w:t>e</w:t>
      </w:r>
      <w:r w:rsidRPr="00E21156">
        <w:t>lektro</w:t>
      </w:r>
      <w:r w:rsidR="003555AA">
        <w:t>technici a techničtí energetici či o</w:t>
      </w:r>
      <w:r w:rsidRPr="00E21156">
        <w:t>bsluha stacionárních strojů a zařízení. Z dalších ohrožených profesí, které však již nejsou tak početné v rámci sektoru energetiky, je třeba jmenovat stavební inženýry a dále mechaniky a opraváře strojů. Pro poměrně velký počet pracovních míst, která budou kvůli odchodům do důchodu uvolněna, bude k dispozici stále menší počet absolventů. Významnější investice v energetickém sektoru pak tento problém ještě znásobí.</w:t>
      </w:r>
    </w:p>
    <w:p w:rsidR="00EB2CCF" w:rsidRPr="00E21156" w:rsidRDefault="00EB2CCF" w:rsidP="00EB2CCF">
      <w:pPr>
        <w:jc w:val="both"/>
      </w:pPr>
      <w:r w:rsidRPr="00E21156">
        <w:lastRenderedPageBreak/>
        <w:t xml:space="preserve">Na celkovém trhu práce převyšuje poptávka po profesích vhodných pro uplatnění v energetice nabídku. Na jaře 2014 bylo prostřednictvím úřadů práce a portálů jobs.cz a práce.cz inzerováno více </w:t>
      </w:r>
      <w:r w:rsidR="004D666F">
        <w:t>než</w:t>
      </w:r>
      <w:r w:rsidRPr="00E21156">
        <w:t xml:space="preserve"> pět tisíc volných pracovních míst. Převažovala poptávka po méně kvalifikovaných profesích (45 % celkové poptávky), poptávka po profesích vyžadujících vysokoškolské vzdělání byla z hlediska počtu nabízených volných pracovních míst srovnatelná s poptávkou po profesích spojených se </w:t>
      </w:r>
      <w:r w:rsidR="004318A2">
        <w:t xml:space="preserve">středním </w:t>
      </w:r>
      <w:r w:rsidRPr="00E21156">
        <w:t xml:space="preserve">vzděláním. Jejich podíl dosahoval v případě vysokoškolských profesí 28 %, podíl středoškolských profesí 27 %. Nejvíce hledanou profesí byl strojní inženýr, na trhu práce chyběl téměř jeden tisíc osob s touto kvalifikací. Obdobný nedostatek byl pociťován i v případě profese obsluha stacionárních strojů a zařízení a svářečů, kdy pro každou z těchto profesí bylo nabízeno cca devět set volných pracovních míst. Mírně lepší situace byla u profesí vyžadujících </w:t>
      </w:r>
      <w:r w:rsidR="004318A2">
        <w:t xml:space="preserve">střední </w:t>
      </w:r>
      <w:r w:rsidRPr="00E21156">
        <w:t xml:space="preserve">vzdělání, chybělo cca 600 strojírenských techniků a obdobný počet mistrů ve výrobě. O absolventy vysokoškolských a středoškolských technických oborů je velký zájem mezi zaměstnavateli, naopak mezi mladými lidmi je zájem o studium těchto oborů velmi omezený. S nepříznivým demografickým vývojem budou všichni zaměstnavatelé hledat tyto profese stále obtížněji, konkurence mezi zaměstnavateli z různých odvětví národního </w:t>
      </w:r>
      <w:r w:rsidR="004D666F">
        <w:t>hospodářství se bude zesilovat.</w:t>
      </w:r>
    </w:p>
    <w:p w:rsidR="00EB2CCF" w:rsidRPr="00E21156" w:rsidRDefault="00EB2CCF" w:rsidP="00EB2CCF">
      <w:pPr>
        <w:jc w:val="both"/>
      </w:pPr>
      <w:r w:rsidRPr="00E21156">
        <w:t>Nepříznivý trend v počtech absolventů vysokoškolského studia je zřetelný u absolventů elektrotechnických a energetických studijních oborů, o kterých lze předpokládat, že mají kvalifikaci nejvíce využitelnou v jaderné energetice. Přestože celkové počty absolventů bakalářského a magisterského stupně vzdělání vykazují nárůsty, počty absolventů elektrotechnických a energetických studijních oborů na vybraných vysokých školách klesají, a to jak z hlediska absolutního počtu, tak z hlediska jejich podílu na počtech absolventů. Rovněž mezi absolventy středních odborných škol byl pokles ve vybraných oborech v oblasti elektrotechniky a energetiky výrazný, mezi lety 2009 a 2012 se zde počet maturantů snížil o 19 %</w:t>
      </w:r>
      <w:r w:rsidR="004D666F">
        <w:t>.</w:t>
      </w:r>
    </w:p>
    <w:p w:rsidR="00EB2CCF" w:rsidRPr="00E21156" w:rsidRDefault="00EB2CCF" w:rsidP="00EB2CCF">
      <w:pPr>
        <w:jc w:val="both"/>
      </w:pPr>
      <w:r w:rsidRPr="00E21156">
        <w:t>Celkově snížené zdroje pro příliv středoškolsky a vysokoškolsky vzdělané mladé generace do energetického sektoru vycházející ze škol jsou dále oslabovány po vstupu na trh práce a ve fázi rozhodování o další pracovní kariéře. V důsledku stále širší škály nabídky pracovních příležitostí v jiných sektorech a z dalších důvodů odchází pracovat do energetického sektoru menší podíl absolventů než v předchozích generacích. Nejzřetelněji je tento trend kariérního posunu vidět u maturantů. U vysokoškoláků tento problém zatím není tak patrný, ovšem problém nedostatku těchto odborníků pro energetiku je vyostřován poklesem zájmu o studium elektrotechnických oborů a nepříznivým očekávaným demogra</w:t>
      </w:r>
      <w:r w:rsidR="00B523ED">
        <w:t>fickým vývojem mladé populace.</w:t>
      </w:r>
    </w:p>
    <w:p w:rsidR="00EB2CCF" w:rsidRDefault="00EB2CCF" w:rsidP="00EB2CCF">
      <w:pPr>
        <w:jc w:val="both"/>
      </w:pPr>
      <w:r w:rsidRPr="00E21156">
        <w:t>Přes nepříznivé tendence v počtech studujících zejména technických oborů středních a vysokých škol, nepotýkají se jaderné elektrárny s nedostatkem nových zaměstnanců díky propracované politice náboru pracovních sil a s ní související úzké spolupráci s vybraným</w:t>
      </w:r>
      <w:r w:rsidR="00B523ED">
        <w:t>i středními a vysokými školami.</w:t>
      </w:r>
    </w:p>
    <w:p w:rsidR="00EB2CCF" w:rsidRPr="00FA10A5" w:rsidRDefault="00EB2CCF" w:rsidP="00EB2CCF">
      <w:pPr>
        <w:jc w:val="both"/>
      </w:pPr>
      <w:r w:rsidRPr="00FA10A5">
        <w:t>Zaměstnání v jaderné energetice je stále relativně atraktivní pro mladé lidi, hrozbou je však případné další zhoršování image jaderné energetiky, nevyjasněné postavení jaderné energetiky v celkovém energetickém mixu a pokles počtu absolventů pod kritickou hranici, který neumožní vyhledat absolventy s požadovaným osobnostním profilem nezbytným zejmé</w:t>
      </w:r>
      <w:r>
        <w:t>na pro výkon určitých profesí.</w:t>
      </w:r>
    </w:p>
    <w:p w:rsidR="00EB2CCF" w:rsidRPr="00FA10A5" w:rsidRDefault="00EB2CCF" w:rsidP="00EB2CCF">
      <w:pPr>
        <w:jc w:val="both"/>
      </w:pPr>
      <w:r w:rsidRPr="00FA10A5">
        <w:t>Výstavba jednoho nového bloku však již představuje problém mnohem významnější z hlediska počtu nových pracovníků vzhledem k jejich produkci z technických škol a výstavbu dvou bloků ve dvou různých lokalitách lze považovat za kritický problém z hlediska lidských zdrojů.</w:t>
      </w:r>
    </w:p>
    <w:p w:rsidR="00EB2CCF" w:rsidRPr="00FA10A5" w:rsidRDefault="00EB2CCF" w:rsidP="00EB2CCF">
      <w:pPr>
        <w:rPr>
          <w:u w:val="single"/>
        </w:rPr>
      </w:pPr>
      <w:r w:rsidRPr="00FA10A5">
        <w:rPr>
          <w:u w:val="single"/>
        </w:rPr>
        <w:lastRenderedPageBreak/>
        <w:t>Specifika projekčních kapacit</w:t>
      </w:r>
    </w:p>
    <w:p w:rsidR="00EB2CCF" w:rsidRPr="003B5525" w:rsidRDefault="00EB2CCF" w:rsidP="002E4520">
      <w:pPr>
        <w:spacing w:line="240" w:lineRule="auto"/>
        <w:jc w:val="both"/>
      </w:pPr>
      <w:r>
        <w:t>S uvedením ETE 1</w:t>
      </w:r>
      <w:r w:rsidR="00937A9A">
        <w:t>,</w:t>
      </w:r>
      <w:r>
        <w:t>2 a EMO 1</w:t>
      </w:r>
      <w:r w:rsidR="00937A9A">
        <w:t>,</w:t>
      </w:r>
      <w:r>
        <w:t xml:space="preserve">2 do provozu (konec roku 2002) se významně snížila poptávka po inženýrských a </w:t>
      </w:r>
      <w:r w:rsidRPr="003B5525">
        <w:t>projektových pracích a doš</w:t>
      </w:r>
      <w:r w:rsidR="00B523ED">
        <w:t>lo k významnému odlivu kapacit.</w:t>
      </w:r>
    </w:p>
    <w:p w:rsidR="00EB2CCF" w:rsidRPr="003B5525" w:rsidRDefault="00577EDC" w:rsidP="00FB0D80">
      <w:pPr>
        <w:spacing w:line="240" w:lineRule="auto"/>
        <w:jc w:val="both"/>
      </w:pPr>
      <w:r w:rsidRPr="003B5525">
        <w:t xml:space="preserve">I přes významnou redukci stále existují </w:t>
      </w:r>
      <w:r w:rsidR="00EB2CCF" w:rsidRPr="003B5525">
        <w:t>inženýrsko-projektové kapacity pro podporu provozu stávajících bloků a výstavbu nových bloků v</w:t>
      </w:r>
      <w:r w:rsidRPr="003B5525">
        <w:t> </w:t>
      </w:r>
      <w:r w:rsidR="00EB2CCF" w:rsidRPr="003B5525">
        <w:t>ČR</w:t>
      </w:r>
      <w:r w:rsidRPr="003B5525">
        <w:t>, které</w:t>
      </w:r>
      <w:r w:rsidR="00EB2CCF" w:rsidRPr="003B5525">
        <w:t>:</w:t>
      </w:r>
    </w:p>
    <w:p w:rsidR="00EB2CCF" w:rsidRPr="003B5525" w:rsidRDefault="004B710E" w:rsidP="0044189F">
      <w:pPr>
        <w:numPr>
          <w:ilvl w:val="0"/>
          <w:numId w:val="32"/>
        </w:numPr>
        <w:spacing w:after="0"/>
        <w:ind w:left="714" w:hanging="357"/>
        <w:jc w:val="both"/>
      </w:pPr>
      <w:r>
        <w:t>P</w:t>
      </w:r>
      <w:r w:rsidR="00891D29" w:rsidRPr="003B5525">
        <w:t xml:space="preserve">racovaly </w:t>
      </w:r>
      <w:r w:rsidR="00577EDC" w:rsidRPr="003B5525">
        <w:t xml:space="preserve">až do současnosti </w:t>
      </w:r>
      <w:r w:rsidR="00EB2CCF" w:rsidRPr="003B5525">
        <w:t>na provozovaných blocích a nově realizovaných projektech (průběžně se stavělo)</w:t>
      </w:r>
      <w:r w:rsidR="0054720D">
        <w:t xml:space="preserve"> a</w:t>
      </w:r>
      <w:r w:rsidR="00EB2CCF" w:rsidRPr="003B5525">
        <w:t xml:space="preserve"> mají </w:t>
      </w:r>
      <w:r w:rsidR="0054720D" w:rsidRPr="003B5525">
        <w:t xml:space="preserve">tedy </w:t>
      </w:r>
      <w:r w:rsidR="00EB2CCF" w:rsidRPr="003B5525">
        <w:t>praktické zkušenosti jak z</w:t>
      </w:r>
      <w:r w:rsidR="0054720D">
        <w:t xml:space="preserve"> oblastí </w:t>
      </w:r>
      <w:r w:rsidR="00EB2CCF" w:rsidRPr="003B5525">
        <w:t>projektování a průběhu povolovacího procesu nově připravovaných bloků, tak z vlastní výstavby a provozu</w:t>
      </w:r>
      <w:r w:rsidR="003555AA">
        <w:t>.</w:t>
      </w:r>
    </w:p>
    <w:p w:rsidR="00EB2CCF" w:rsidRDefault="004B710E" w:rsidP="0044189F">
      <w:pPr>
        <w:numPr>
          <w:ilvl w:val="0"/>
          <w:numId w:val="32"/>
        </w:numPr>
        <w:spacing w:after="0"/>
        <w:ind w:left="714" w:hanging="357"/>
        <w:jc w:val="both"/>
      </w:pPr>
      <w:r>
        <w:t>J</w:t>
      </w:r>
      <w:r w:rsidR="00EB2CCF" w:rsidRPr="003B5525">
        <w:t>sou komplexní (</w:t>
      </w:r>
      <w:proofErr w:type="spellStart"/>
      <w:r w:rsidR="00EB2CCF" w:rsidRPr="003B5525">
        <w:t>všeprofesní</w:t>
      </w:r>
      <w:proofErr w:type="spellEnd"/>
      <w:r w:rsidR="00EB2CCF" w:rsidRPr="003B5525">
        <w:t>), tedy umí pokrýt kompletně</w:t>
      </w:r>
      <w:r w:rsidR="00EB2CCF">
        <w:t xml:space="preserve"> celou problematiku jak v oblasti </w:t>
      </w:r>
      <w:r w:rsidR="003555AA">
        <w:t>a</w:t>
      </w:r>
      <w:r w:rsidR="00EB2CCF">
        <w:t>tomového zákona (analýzy, bezpečnostní dokumentace)</w:t>
      </w:r>
      <w:r w:rsidR="0054720D">
        <w:t>,</w:t>
      </w:r>
      <w:r w:rsidR="00EB2CCF">
        <w:t xml:space="preserve"> tak v oblasti </w:t>
      </w:r>
      <w:r w:rsidR="003555AA">
        <w:t>s</w:t>
      </w:r>
      <w:r w:rsidR="00EB2CCF">
        <w:t>tavebního zákona (EIA, povolovací dokumentace) a vše co s procesem přípravy a povolování nové JE souvisí</w:t>
      </w:r>
      <w:r>
        <w:t>.</w:t>
      </w:r>
    </w:p>
    <w:p w:rsidR="00EB2CCF" w:rsidRDefault="004B710E" w:rsidP="00FB0D80">
      <w:pPr>
        <w:numPr>
          <w:ilvl w:val="0"/>
          <w:numId w:val="32"/>
        </w:numPr>
        <w:ind w:left="714" w:hanging="357"/>
        <w:jc w:val="both"/>
      </w:pPr>
      <w:r>
        <w:t>Č</w:t>
      </w:r>
      <w:r w:rsidR="00EB2CCF">
        <w:t xml:space="preserve">ástečně </w:t>
      </w:r>
      <w:r w:rsidR="00577EDC">
        <w:t xml:space="preserve">se dočasně uplatňují </w:t>
      </w:r>
      <w:r w:rsidR="00EB2CCF">
        <w:t>i v nejaderných pr</w:t>
      </w:r>
      <w:r w:rsidR="0054720D">
        <w:t>ojektech v energetickém sektoru</w:t>
      </w:r>
      <w:r w:rsidR="002A7B1C">
        <w:t>.</w:t>
      </w:r>
    </w:p>
    <w:p w:rsidR="00F134B3" w:rsidRDefault="009A5002" w:rsidP="002E4520">
      <w:pPr>
        <w:spacing w:after="0"/>
        <w:jc w:val="both"/>
      </w:pPr>
      <w:r>
        <w:t>Klíčovým problémem projekčních kapacit je (stejně jako u ostatních inženýrských kapacit v oblasti JE) postupné zvyšování průměrného věku a pok</w:t>
      </w:r>
      <w:r w:rsidR="004B710E">
        <w:t>račující odliv do jiných oborů.</w:t>
      </w:r>
    </w:p>
    <w:p w:rsidR="00EB2CCF" w:rsidRDefault="00EB2CCF" w:rsidP="00EB2CCF">
      <w:pPr>
        <w:pStyle w:val="Nadpis3"/>
      </w:pPr>
      <w:bookmarkStart w:id="191" w:name="_Toc407035577"/>
      <w:bookmarkStart w:id="192" w:name="_Toc420056016"/>
      <w:r>
        <w:t>Kritické předpoklady</w:t>
      </w:r>
      <w:bookmarkEnd w:id="191"/>
      <w:r w:rsidR="0093175A">
        <w:t xml:space="preserve"> </w:t>
      </w:r>
      <w:r w:rsidR="007C2EC3">
        <w:t>pro zajištění lidských zdrojů</w:t>
      </w:r>
      <w:bookmarkEnd w:id="192"/>
    </w:p>
    <w:p w:rsidR="00EB2CCF" w:rsidRPr="00FA10A5" w:rsidRDefault="0093175A" w:rsidP="00EB2CCF">
      <w:pPr>
        <w:rPr>
          <w:u w:val="single"/>
        </w:rPr>
      </w:pPr>
      <w:r>
        <w:rPr>
          <w:u w:val="single"/>
        </w:rPr>
        <w:t>Pracovníci pro zajištění výstavby a provozu JE</w:t>
      </w:r>
    </w:p>
    <w:p w:rsidR="00EB2CCF" w:rsidRPr="00FA10A5" w:rsidRDefault="00EB2CCF" w:rsidP="00EB2CCF">
      <w:pPr>
        <w:jc w:val="both"/>
      </w:pPr>
      <w:r w:rsidRPr="00FA10A5">
        <w:t xml:space="preserve">Vlastní provoz současných jaderných bloků lze v zásadě zajistit i při současném popisovaném stavu odborného sekundárního a terciárního vzdělávání – pokud nebude dále klesat úroveň absolventů základního a sekundárního obecného vzdělávání. Další pokles této úrovně – zejména co se týče základních znalostí a dovedností z matematiky a fyziky </w:t>
      </w:r>
      <w:r w:rsidR="0003525B">
        <w:t>–</w:t>
      </w:r>
      <w:r w:rsidRPr="00FA10A5">
        <w:t xml:space="preserve"> je limitující a mohl by způsobit vážné problémy již při prosté náhradě nutné z hlediska stárnutí současných zaměstnanců. Jaderná energetika </w:t>
      </w:r>
      <w:r w:rsidR="0003525B">
        <w:t>– provozovatel obou elektráren –</w:t>
      </w:r>
      <w:r w:rsidRPr="00FA10A5">
        <w:t xml:space="preserve"> má poměrně dobře zavedený systém dovzdělání a zapracování nově přijímaných pracovníků.</w:t>
      </w:r>
    </w:p>
    <w:p w:rsidR="00EB2CCF" w:rsidRPr="00FA10A5" w:rsidRDefault="00EB2CCF" w:rsidP="00EB2CCF">
      <w:pPr>
        <w:jc w:val="both"/>
      </w:pPr>
      <w:r w:rsidRPr="00FA10A5">
        <w:t xml:space="preserve">Výstavba nových bloků odlišné konstrukční generace a potenciálně i provenience </w:t>
      </w:r>
      <w:r w:rsidR="0093175A">
        <w:t xml:space="preserve">a jejich budoucí provoz </w:t>
      </w:r>
      <w:r w:rsidRPr="00FA10A5">
        <w:t>však přináší kvalitativně zcela nový problém.</w:t>
      </w:r>
      <w:r w:rsidR="0093175A">
        <w:t xml:space="preserve"> </w:t>
      </w:r>
      <w:r w:rsidRPr="00FA10A5">
        <w:t>Již ve fázi předchozí odborné (školní a CŽV) přípravy je nezbytné připravit významný podíl nových pracovníků, kteří již budou minimálně teoreticky, lépe i s praktickým odborným výcvikem připraveni pro nové technologie</w:t>
      </w:r>
      <w:r w:rsidR="0093175A">
        <w:t xml:space="preserve">, a to jak ve fázi jejich výstavby, tak </w:t>
      </w:r>
      <w:r w:rsidRPr="00FA10A5">
        <w:t>jejich provoz</w:t>
      </w:r>
      <w:r w:rsidR="0093175A">
        <w:t>u</w:t>
      </w:r>
      <w:r w:rsidRPr="00FA10A5">
        <w:t>.</w:t>
      </w:r>
    </w:p>
    <w:p w:rsidR="00EB2CCF" w:rsidRPr="00FA10A5" w:rsidRDefault="00EB2CCF" w:rsidP="00EB2CCF">
      <w:pPr>
        <w:rPr>
          <w:u w:val="single"/>
        </w:rPr>
      </w:pPr>
      <w:r w:rsidRPr="00FA10A5">
        <w:rPr>
          <w:u w:val="single"/>
        </w:rPr>
        <w:t>Komplexní projektové kapacity</w:t>
      </w:r>
    </w:p>
    <w:p w:rsidR="00C13725" w:rsidRPr="00FA10A5" w:rsidRDefault="008D4784" w:rsidP="003B5525">
      <w:pPr>
        <w:jc w:val="both"/>
      </w:pPr>
      <w:r>
        <w:t xml:space="preserve">Podmínkou pro dlouhodobý provoz </w:t>
      </w:r>
      <w:r w:rsidR="00C13725" w:rsidRPr="00FA10A5">
        <w:t>jadern</w:t>
      </w:r>
      <w:r>
        <w:t>ých</w:t>
      </w:r>
      <w:r w:rsidR="00C13725" w:rsidRPr="00FA10A5">
        <w:t xml:space="preserve"> blok</w:t>
      </w:r>
      <w:r>
        <w:t xml:space="preserve">ů je existence </w:t>
      </w:r>
      <w:r w:rsidR="00C13725" w:rsidRPr="00FA10A5">
        <w:t>vlastní</w:t>
      </w:r>
      <w:r>
        <w:t>ch</w:t>
      </w:r>
      <w:r w:rsidR="00C13725" w:rsidRPr="00FA10A5">
        <w:t xml:space="preserve"> inženýrsk</w:t>
      </w:r>
      <w:r>
        <w:t xml:space="preserve">ých </w:t>
      </w:r>
      <w:r w:rsidR="00C13725" w:rsidRPr="00FA10A5">
        <w:t>kapacit</w:t>
      </w:r>
      <w:r>
        <w:t xml:space="preserve"> v </w:t>
      </w:r>
      <w:r w:rsidR="0093175A">
        <w:t>takovém</w:t>
      </w:r>
      <w:r w:rsidR="0054720D">
        <w:t xml:space="preserve"> rozsahu a kvalitě</w:t>
      </w:r>
      <w:r>
        <w:t xml:space="preserve">, aby byly schopny </w:t>
      </w:r>
      <w:r w:rsidR="00C13725" w:rsidRPr="00FA10A5">
        <w:t xml:space="preserve">zajistit technickou podporu jejich provozu. </w:t>
      </w:r>
      <w:r w:rsidR="0093175A">
        <w:t xml:space="preserve">K tomu je potřeba zajistit udržení rozsahu a dlouhodobý rozvoj stávajících </w:t>
      </w:r>
      <w:r w:rsidR="00EF53D3">
        <w:t xml:space="preserve">projektových kapacit. Kromě účasti v nejrůznějších mezinárodních institucích a programech v oblasti jaderné energetiky se jedná především o možnost </w:t>
      </w:r>
      <w:r w:rsidR="00C13725" w:rsidRPr="00FA10A5">
        <w:t>praktické</w:t>
      </w:r>
      <w:r w:rsidR="00EF53D3">
        <w:t>ho</w:t>
      </w:r>
      <w:r w:rsidR="00C13725" w:rsidRPr="00FA10A5">
        <w:t xml:space="preserve"> uplatnění na konkrétních projektech</w:t>
      </w:r>
      <w:r w:rsidR="00EF53D3">
        <w:t xml:space="preserve"> výstavby, popř. modifikace jaderných elektráren, a to prostřednictvím:</w:t>
      </w:r>
    </w:p>
    <w:p w:rsidR="00C13725" w:rsidRPr="00FA10A5" w:rsidRDefault="002A7B1C" w:rsidP="0044189F">
      <w:pPr>
        <w:numPr>
          <w:ilvl w:val="0"/>
          <w:numId w:val="36"/>
        </w:numPr>
        <w:spacing w:after="0"/>
        <w:ind w:left="714" w:hanging="357"/>
        <w:jc w:val="both"/>
      </w:pPr>
      <w:r>
        <w:t>z</w:t>
      </w:r>
      <w:r w:rsidR="00C13725" w:rsidRPr="00FA10A5">
        <w:t xml:space="preserve">apojení do spolupráce </w:t>
      </w:r>
      <w:r w:rsidR="00C13725">
        <w:t>s nadnárodními inženýrskými fir</w:t>
      </w:r>
      <w:r w:rsidR="00C13725" w:rsidRPr="00FA10A5">
        <w:t>mami, které poskytují služby v oblasti JE a budou možnost</w:t>
      </w:r>
      <w:r w:rsidR="0054720D">
        <w:t>í</w:t>
      </w:r>
      <w:r w:rsidR="00C13725" w:rsidRPr="00FA10A5">
        <w:t xml:space="preserve"> zásobov</w:t>
      </w:r>
      <w:r w:rsidR="0054720D">
        <w:t>á</w:t>
      </w:r>
      <w:r w:rsidR="00C13725" w:rsidRPr="00FA10A5">
        <w:t>ní prací na zahraničních projekt</w:t>
      </w:r>
      <w:r w:rsidR="0054720D">
        <w:t>ech</w:t>
      </w:r>
      <w:r>
        <w:t>,</w:t>
      </w:r>
    </w:p>
    <w:p w:rsidR="00C13725" w:rsidRDefault="002A7B1C" w:rsidP="0044189F">
      <w:pPr>
        <w:numPr>
          <w:ilvl w:val="0"/>
          <w:numId w:val="36"/>
        </w:numPr>
        <w:ind w:left="714" w:hanging="357"/>
        <w:jc w:val="both"/>
      </w:pPr>
      <w:r>
        <w:t>z</w:t>
      </w:r>
      <w:r w:rsidR="00C13725" w:rsidRPr="00FA10A5">
        <w:t xml:space="preserve">apojení do spolupráce s vybranými </w:t>
      </w:r>
      <w:r w:rsidR="0054720D">
        <w:t>dodavateli – dlouhodobé smlouvy</w:t>
      </w:r>
      <w:r>
        <w:t>.</w:t>
      </w:r>
    </w:p>
    <w:p w:rsidR="00EB2CCF" w:rsidRPr="00FA10A5" w:rsidRDefault="00EF53D3" w:rsidP="00EB2CCF">
      <w:pPr>
        <w:jc w:val="both"/>
      </w:pPr>
      <w:r>
        <w:lastRenderedPageBreak/>
        <w:t xml:space="preserve">Udržení rozsahu projektových kapacit v oblasti jaderné energetiky a jeho budoucí rozšíření pro potřeby výstavby NJZ a následného </w:t>
      </w:r>
      <w:r w:rsidR="0093175A">
        <w:t>zajiš</w:t>
      </w:r>
      <w:r>
        <w:t xml:space="preserve">tění </w:t>
      </w:r>
      <w:r w:rsidR="0093175A">
        <w:t>všech fází životního cyklu jaderné energetiky</w:t>
      </w:r>
      <w:r>
        <w:t xml:space="preserve"> je reálné pouze v případě bezodkladného p</w:t>
      </w:r>
      <w:r w:rsidR="00C6379E">
        <w:t xml:space="preserve">okračování přípravy (a následné realizace) projektů NJZ. Přerušení přípravy projektů NJZ by znamenalo pokračování </w:t>
      </w:r>
      <w:r w:rsidR="007B48BD">
        <w:t xml:space="preserve">často již nezvratného </w:t>
      </w:r>
      <w:r w:rsidR="00C6379E">
        <w:t>odlivu těchto kapacit do jiných oblastí</w:t>
      </w:r>
      <w:r>
        <w:t xml:space="preserve"> z důvodů ztráty perspektivy především u pracovníků nižšího věku</w:t>
      </w:r>
      <w:r w:rsidR="0003525B">
        <w:t>.</w:t>
      </w:r>
    </w:p>
    <w:p w:rsidR="00EB2CCF" w:rsidRDefault="00EB2CCF" w:rsidP="00C223D0">
      <w:pPr>
        <w:jc w:val="both"/>
      </w:pPr>
      <w:r w:rsidRPr="00FA10A5">
        <w:t xml:space="preserve">V případě rozhodnutí o </w:t>
      </w:r>
      <w:r w:rsidR="006756DE">
        <w:t>pokračování přípravy NJZ</w:t>
      </w:r>
      <w:r w:rsidRPr="00FA10A5">
        <w:t xml:space="preserve"> je</w:t>
      </w:r>
      <w:r w:rsidR="006756DE">
        <w:t xml:space="preserve"> </w:t>
      </w:r>
      <w:r w:rsidR="00EF53D3">
        <w:t>rovněž</w:t>
      </w:r>
      <w:r w:rsidR="006756DE">
        <w:t xml:space="preserve"> klíčovým faktorem úspěchu přizpůsobení dokumentace NJZ legislativním požadavkům ČR. Tato úprava musí být realizována inženýrskými kapacitami, které disponují dobrou znalostí legislativy a zvyklostí povolovacího a licenčního procesu v ČR. Z tohoto důvodu je </w:t>
      </w:r>
      <w:r w:rsidRPr="00FA10A5">
        <w:t>nutné včas připravit potřebné lidské zdroje ve spolupráci dodavatelů, projektově-inženýrských organizací, výzkumných pracovišť a VŠ. Tento lidský potenciál nelze získat ze dne na den, ale jedná se o dlouholetý řízený proces s cílem zajistit potřebné kapacity.</w:t>
      </w:r>
    </w:p>
    <w:p w:rsidR="00DB6DBA" w:rsidRPr="006047CA" w:rsidRDefault="00DB6DBA" w:rsidP="002A7B1C">
      <w:pPr>
        <w:pStyle w:val="Nadpis2"/>
        <w:keepNext/>
        <w:ind w:left="578" w:hanging="578"/>
      </w:pPr>
      <w:bookmarkStart w:id="193" w:name="_Toc407035578"/>
      <w:bookmarkStart w:id="194" w:name="_Toc420056017"/>
      <w:r w:rsidRPr="006047CA">
        <w:t>Stav průmyslové základny a její potenciál v dodavatelském řetězci</w:t>
      </w:r>
      <w:bookmarkEnd w:id="193"/>
      <w:bookmarkEnd w:id="194"/>
    </w:p>
    <w:p w:rsidR="00DB6DBA" w:rsidRPr="00024291" w:rsidRDefault="00DB6DBA" w:rsidP="00DB6DBA">
      <w:pPr>
        <w:jc w:val="both"/>
      </w:pPr>
      <w:r w:rsidRPr="00024291">
        <w:t>Potenciál českých společností lze rozdělit do dvou základních dovedností:</w:t>
      </w:r>
    </w:p>
    <w:p w:rsidR="00DB6DBA" w:rsidRPr="00024291" w:rsidRDefault="00DB6DBA" w:rsidP="0044189F">
      <w:pPr>
        <w:numPr>
          <w:ilvl w:val="0"/>
          <w:numId w:val="104"/>
        </w:numPr>
        <w:spacing w:after="0" w:line="240" w:lineRule="auto"/>
        <w:jc w:val="both"/>
      </w:pPr>
      <w:r w:rsidRPr="00024291">
        <w:t>dodavatelé technologických celků,</w:t>
      </w:r>
    </w:p>
    <w:p w:rsidR="00DB6DBA" w:rsidRDefault="00DB6DBA" w:rsidP="0044189F">
      <w:pPr>
        <w:numPr>
          <w:ilvl w:val="0"/>
          <w:numId w:val="104"/>
        </w:numPr>
        <w:spacing w:line="240" w:lineRule="auto"/>
        <w:ind w:left="714" w:hanging="357"/>
        <w:jc w:val="both"/>
      </w:pPr>
      <w:r w:rsidRPr="00024291">
        <w:t>dodavatelé stavebních částí a zařízení staveniště.</w:t>
      </w:r>
    </w:p>
    <w:p w:rsidR="00DB6DBA" w:rsidRPr="008E3F0C" w:rsidRDefault="00DB6DBA" w:rsidP="00DB6DBA">
      <w:pPr>
        <w:jc w:val="both"/>
      </w:pPr>
      <w:r w:rsidRPr="008E3F0C">
        <w:t>Současný stav se vyznačuje (mj.) následujícími fakty:</w:t>
      </w:r>
    </w:p>
    <w:p w:rsidR="00DB6DBA" w:rsidRPr="00A14A80" w:rsidRDefault="00DB6DBA" w:rsidP="00372826">
      <w:pPr>
        <w:pStyle w:val="Zkladntext"/>
        <w:numPr>
          <w:ilvl w:val="0"/>
          <w:numId w:val="103"/>
        </w:numPr>
        <w:spacing w:line="276" w:lineRule="auto"/>
        <w:rPr>
          <w:rFonts w:asciiTheme="minorHAnsi" w:hAnsiTheme="minorHAnsi"/>
          <w:sz w:val="22"/>
          <w:szCs w:val="22"/>
        </w:rPr>
      </w:pPr>
      <w:r w:rsidRPr="00A14A80">
        <w:rPr>
          <w:rFonts w:asciiTheme="minorHAnsi" w:hAnsiTheme="minorHAnsi"/>
          <w:sz w:val="22"/>
          <w:szCs w:val="22"/>
        </w:rPr>
        <w:t>společnosti jsou primárně orientovány převážně na technologie VVER 440 a 1000, což jsou dnes již staré technologie, kde jsou dodávky omezeny pouze na servisní činnosti a modernizační projekty, tzn.</w:t>
      </w:r>
      <w:r w:rsidR="004B710E">
        <w:rPr>
          <w:rFonts w:asciiTheme="minorHAnsi" w:hAnsiTheme="minorHAnsi"/>
          <w:sz w:val="22"/>
          <w:szCs w:val="22"/>
        </w:rPr>
        <w:t>, že</w:t>
      </w:r>
      <w:r w:rsidRPr="00A14A80">
        <w:rPr>
          <w:rFonts w:asciiTheme="minorHAnsi" w:hAnsiTheme="minorHAnsi"/>
          <w:sz w:val="22"/>
          <w:szCs w:val="22"/>
        </w:rPr>
        <w:t xml:space="preserve"> společnostem reálně hrozí ztráta know-how, neboť pro nové bloky VVER (AES 2006 počínaje, VVER 1200 atd.) nemají (až na výjimky) potřebné licence,</w:t>
      </w:r>
    </w:p>
    <w:p w:rsidR="00DB6DBA" w:rsidRPr="002918F0" w:rsidRDefault="00DB6DBA" w:rsidP="00372826">
      <w:pPr>
        <w:pStyle w:val="Zkladntext"/>
        <w:numPr>
          <w:ilvl w:val="0"/>
          <w:numId w:val="103"/>
        </w:numPr>
        <w:spacing w:line="276" w:lineRule="auto"/>
        <w:rPr>
          <w:rFonts w:asciiTheme="minorHAnsi" w:hAnsiTheme="minorHAnsi"/>
          <w:sz w:val="22"/>
          <w:szCs w:val="22"/>
        </w:rPr>
      </w:pPr>
      <w:r w:rsidRPr="00A14A80">
        <w:rPr>
          <w:rFonts w:asciiTheme="minorHAnsi" w:hAnsiTheme="minorHAnsi"/>
          <w:sz w:val="22"/>
          <w:szCs w:val="22"/>
        </w:rPr>
        <w:t xml:space="preserve">dodávky pro západní technologie (EPR-AREVA a AP – </w:t>
      </w:r>
      <w:proofErr w:type="spellStart"/>
      <w:r w:rsidRPr="00A14A80">
        <w:rPr>
          <w:rFonts w:asciiTheme="minorHAnsi" w:hAnsiTheme="minorHAnsi"/>
          <w:sz w:val="22"/>
          <w:szCs w:val="22"/>
        </w:rPr>
        <w:t>Westinghouse</w:t>
      </w:r>
      <w:proofErr w:type="spellEnd"/>
      <w:r w:rsidRPr="00A14A80">
        <w:rPr>
          <w:rFonts w:asciiTheme="minorHAnsi" w:hAnsiTheme="minorHAnsi"/>
          <w:sz w:val="22"/>
          <w:szCs w:val="22"/>
        </w:rPr>
        <w:t xml:space="preserve">, </w:t>
      </w:r>
      <w:proofErr w:type="spellStart"/>
      <w:r w:rsidRPr="00A14A80">
        <w:rPr>
          <w:rFonts w:asciiTheme="minorHAnsi" w:hAnsiTheme="minorHAnsi"/>
          <w:sz w:val="22"/>
          <w:szCs w:val="22"/>
        </w:rPr>
        <w:t>Kepco</w:t>
      </w:r>
      <w:proofErr w:type="spellEnd"/>
      <w:r w:rsidRPr="00A14A80">
        <w:rPr>
          <w:rFonts w:asciiTheme="minorHAnsi" w:hAnsiTheme="minorHAnsi"/>
          <w:sz w:val="22"/>
          <w:szCs w:val="22"/>
        </w:rPr>
        <w:t xml:space="preserve">, Toshiba, GE, atd.) byly v minulosti, a jsou i nyní a zcela </w:t>
      </w:r>
      <w:r w:rsidRPr="002918F0">
        <w:rPr>
          <w:rFonts w:asciiTheme="minorHAnsi" w:hAnsiTheme="minorHAnsi"/>
          <w:sz w:val="22"/>
          <w:szCs w:val="22"/>
        </w:rPr>
        <w:t>určitě tak zůstanou (za stávající situace) i do budoucna minoritním doplněním odběru výrobků společností s dobrou referencí avšak mizivým finančním efektem a minimálním efektem z pohledu zisku know-how použitelného do budoucna,</w:t>
      </w:r>
    </w:p>
    <w:p w:rsidR="00DB6DBA" w:rsidRPr="002918F0" w:rsidRDefault="00DB6DBA" w:rsidP="00372826">
      <w:pPr>
        <w:pStyle w:val="Zkladntext"/>
        <w:numPr>
          <w:ilvl w:val="0"/>
          <w:numId w:val="103"/>
        </w:numPr>
        <w:spacing w:line="276" w:lineRule="auto"/>
        <w:rPr>
          <w:rFonts w:asciiTheme="minorHAnsi" w:hAnsiTheme="minorHAnsi"/>
          <w:sz w:val="22"/>
          <w:szCs w:val="22"/>
        </w:rPr>
      </w:pPr>
      <w:r w:rsidRPr="002918F0">
        <w:rPr>
          <w:rFonts w:asciiTheme="minorHAnsi" w:hAnsiTheme="minorHAnsi"/>
          <w:sz w:val="22"/>
          <w:szCs w:val="22"/>
        </w:rPr>
        <w:t>dostavba JE Mochovce 3&amp;4 (440MW VVER) je posledním projektem tohoto typu JE</w:t>
      </w:r>
      <w:r w:rsidR="00725316" w:rsidRPr="002918F0">
        <w:rPr>
          <w:rFonts w:asciiTheme="minorHAnsi" w:hAnsiTheme="minorHAnsi"/>
          <w:sz w:val="22"/>
          <w:szCs w:val="22"/>
        </w:rPr>
        <w:t xml:space="preserve"> ve výstavbě</w:t>
      </w:r>
      <w:r w:rsidRPr="002918F0">
        <w:rPr>
          <w:rFonts w:asciiTheme="minorHAnsi" w:hAnsiTheme="minorHAnsi"/>
          <w:sz w:val="22"/>
          <w:szCs w:val="22"/>
        </w:rPr>
        <w:t xml:space="preserve">, další výstavba již bude probíhat či již probíhá na nových technologiích, </w:t>
      </w:r>
      <w:r w:rsidR="00A1107B" w:rsidRPr="002918F0">
        <w:rPr>
          <w:rFonts w:asciiTheme="minorHAnsi" w:hAnsiTheme="minorHAnsi"/>
          <w:sz w:val="22"/>
          <w:szCs w:val="22"/>
        </w:rPr>
        <w:t>se kterými české společnosti nemají dostatek zkušeností a často jim chybí i potřebné certifikace, popř. kompetence</w:t>
      </w:r>
      <w:r w:rsidRPr="002918F0">
        <w:rPr>
          <w:rFonts w:asciiTheme="minorHAnsi" w:hAnsiTheme="minorHAnsi"/>
          <w:sz w:val="22"/>
          <w:szCs w:val="22"/>
        </w:rPr>
        <w:t>,</w:t>
      </w:r>
    </w:p>
    <w:p w:rsidR="00DB6DBA" w:rsidRPr="008E3F0C" w:rsidRDefault="00DB6DBA" w:rsidP="00372826">
      <w:pPr>
        <w:pStyle w:val="Zkladntext"/>
        <w:numPr>
          <w:ilvl w:val="0"/>
          <w:numId w:val="103"/>
        </w:numPr>
        <w:spacing w:line="276" w:lineRule="auto"/>
        <w:rPr>
          <w:rFonts w:asciiTheme="minorHAnsi" w:hAnsiTheme="minorHAnsi"/>
          <w:sz w:val="22"/>
          <w:szCs w:val="22"/>
        </w:rPr>
      </w:pPr>
      <w:r w:rsidRPr="002918F0">
        <w:rPr>
          <w:rFonts w:asciiTheme="minorHAnsi" w:hAnsiTheme="minorHAnsi"/>
          <w:sz w:val="22"/>
          <w:szCs w:val="22"/>
        </w:rPr>
        <w:t>problematickým trhem se stala Ukrajina, nicméně ani v případě stabilizace situace nenabízí dostatečný prostor (v budoucnu přichází do úvahy pouze servisní činnosti či jejich podpora, případně podpora vyřazování z provozu</w:t>
      </w:r>
      <w:r w:rsidRPr="008E3F0C">
        <w:rPr>
          <w:rFonts w:asciiTheme="minorHAnsi" w:hAnsiTheme="minorHAnsi"/>
          <w:sz w:val="22"/>
          <w:szCs w:val="22"/>
        </w:rPr>
        <w:t>, zatím diskutabilní, i když momentálně silně podporovaná otázka výstavby nového jaderného zdroje na Ukrajině),</w:t>
      </w:r>
    </w:p>
    <w:p w:rsidR="00DB6DBA" w:rsidRDefault="00DB6DBA" w:rsidP="00372826">
      <w:pPr>
        <w:pStyle w:val="Zkladntext"/>
        <w:numPr>
          <w:ilvl w:val="0"/>
          <w:numId w:val="103"/>
        </w:numPr>
        <w:spacing w:line="276" w:lineRule="auto"/>
        <w:rPr>
          <w:rFonts w:asciiTheme="minorHAnsi" w:hAnsiTheme="minorHAnsi"/>
          <w:sz w:val="22"/>
          <w:szCs w:val="22"/>
        </w:rPr>
      </w:pPr>
      <w:r w:rsidRPr="008E3F0C">
        <w:rPr>
          <w:rFonts w:asciiTheme="minorHAnsi" w:hAnsiTheme="minorHAnsi"/>
          <w:sz w:val="22"/>
          <w:szCs w:val="22"/>
        </w:rPr>
        <w:t xml:space="preserve">společnosti mají k dispozici </w:t>
      </w:r>
      <w:r w:rsidR="00A1107B">
        <w:rPr>
          <w:rFonts w:asciiTheme="minorHAnsi" w:hAnsiTheme="minorHAnsi"/>
          <w:sz w:val="22"/>
          <w:szCs w:val="22"/>
        </w:rPr>
        <w:t xml:space="preserve">pouze </w:t>
      </w:r>
      <w:r w:rsidRPr="008E3F0C">
        <w:rPr>
          <w:rFonts w:asciiTheme="minorHAnsi" w:hAnsiTheme="minorHAnsi"/>
          <w:sz w:val="22"/>
          <w:szCs w:val="22"/>
        </w:rPr>
        <w:t>omezené personální zdroje a obchodní možnosti, které by mohly zajistit expanzi na tak tvrdé a velmi uzavřené trhy</w:t>
      </w:r>
      <w:r w:rsidR="002A7B1C">
        <w:rPr>
          <w:rFonts w:asciiTheme="minorHAnsi" w:hAnsiTheme="minorHAnsi"/>
          <w:sz w:val="22"/>
          <w:szCs w:val="22"/>
        </w:rPr>
        <w:t>,</w:t>
      </w:r>
      <w:r w:rsidRPr="008E3F0C">
        <w:rPr>
          <w:rFonts w:asciiTheme="minorHAnsi" w:hAnsiTheme="minorHAnsi"/>
          <w:sz w:val="22"/>
          <w:szCs w:val="22"/>
        </w:rPr>
        <w:t xml:space="preserve"> jako </w:t>
      </w:r>
      <w:r w:rsidR="002A7B1C">
        <w:rPr>
          <w:rFonts w:asciiTheme="minorHAnsi" w:hAnsiTheme="minorHAnsi"/>
          <w:sz w:val="22"/>
          <w:szCs w:val="22"/>
        </w:rPr>
        <w:t xml:space="preserve">je </w:t>
      </w:r>
      <w:r w:rsidRPr="008E3F0C">
        <w:rPr>
          <w:rFonts w:asciiTheme="minorHAnsi" w:hAnsiTheme="minorHAnsi"/>
          <w:sz w:val="22"/>
          <w:szCs w:val="22"/>
        </w:rPr>
        <w:t>trh Velké Británie (</w:t>
      </w:r>
      <w:r w:rsidR="00A1107B">
        <w:rPr>
          <w:rFonts w:asciiTheme="minorHAnsi" w:hAnsiTheme="minorHAnsi"/>
          <w:sz w:val="22"/>
          <w:szCs w:val="22"/>
        </w:rPr>
        <w:t xml:space="preserve">příkladem je pouze </w:t>
      </w:r>
      <w:r w:rsidRPr="008E3F0C">
        <w:rPr>
          <w:rFonts w:asciiTheme="minorHAnsi" w:hAnsiTheme="minorHAnsi"/>
          <w:sz w:val="22"/>
          <w:szCs w:val="22"/>
        </w:rPr>
        <w:t xml:space="preserve">minimální rozsah dodávek </w:t>
      </w:r>
      <w:r w:rsidR="00A1107B">
        <w:rPr>
          <w:rFonts w:asciiTheme="minorHAnsi" w:hAnsiTheme="minorHAnsi"/>
          <w:sz w:val="22"/>
          <w:szCs w:val="22"/>
        </w:rPr>
        <w:t xml:space="preserve">českých firem </w:t>
      </w:r>
      <w:r w:rsidRPr="008E3F0C">
        <w:rPr>
          <w:rFonts w:asciiTheme="minorHAnsi" w:hAnsiTheme="minorHAnsi"/>
          <w:sz w:val="22"/>
          <w:szCs w:val="22"/>
        </w:rPr>
        <w:t xml:space="preserve">pro </w:t>
      </w:r>
      <w:r w:rsidR="00A1107B">
        <w:rPr>
          <w:rFonts w:asciiTheme="minorHAnsi" w:hAnsiTheme="minorHAnsi"/>
          <w:sz w:val="22"/>
          <w:szCs w:val="22"/>
        </w:rPr>
        <w:t xml:space="preserve">projekty </w:t>
      </w:r>
      <w:proofErr w:type="spellStart"/>
      <w:r w:rsidR="002A7B1C">
        <w:rPr>
          <w:rFonts w:asciiTheme="minorHAnsi" w:hAnsiTheme="minorHAnsi"/>
          <w:sz w:val="22"/>
          <w:szCs w:val="22"/>
        </w:rPr>
        <w:t>Olkiluoto</w:t>
      </w:r>
      <w:proofErr w:type="spellEnd"/>
      <w:r w:rsidR="002A7B1C">
        <w:rPr>
          <w:rFonts w:asciiTheme="minorHAnsi" w:hAnsiTheme="minorHAnsi"/>
          <w:sz w:val="22"/>
          <w:szCs w:val="22"/>
        </w:rPr>
        <w:t xml:space="preserve"> nebo </w:t>
      </w:r>
      <w:proofErr w:type="spellStart"/>
      <w:r w:rsidR="002A7B1C">
        <w:rPr>
          <w:rFonts w:asciiTheme="minorHAnsi" w:hAnsiTheme="minorHAnsi"/>
          <w:sz w:val="22"/>
          <w:szCs w:val="22"/>
        </w:rPr>
        <w:t>Flamanville</w:t>
      </w:r>
      <w:proofErr w:type="spellEnd"/>
      <w:r w:rsidR="002A7B1C">
        <w:rPr>
          <w:rFonts w:asciiTheme="minorHAnsi" w:hAnsiTheme="minorHAnsi"/>
          <w:sz w:val="22"/>
          <w:szCs w:val="22"/>
        </w:rPr>
        <w:t>),</w:t>
      </w:r>
    </w:p>
    <w:p w:rsidR="00A1107B" w:rsidRPr="008E3F0C" w:rsidRDefault="004B710E" w:rsidP="00372826">
      <w:pPr>
        <w:pStyle w:val="Zkladntext"/>
        <w:numPr>
          <w:ilvl w:val="0"/>
          <w:numId w:val="103"/>
        </w:numPr>
        <w:spacing w:after="200" w:line="276" w:lineRule="auto"/>
        <w:ind w:left="714" w:hanging="357"/>
        <w:rPr>
          <w:rFonts w:asciiTheme="minorHAnsi" w:hAnsiTheme="minorHAnsi"/>
          <w:sz w:val="22"/>
          <w:szCs w:val="22"/>
        </w:rPr>
      </w:pPr>
      <w:r>
        <w:rPr>
          <w:rFonts w:asciiTheme="minorHAnsi" w:hAnsiTheme="minorHAnsi"/>
          <w:sz w:val="22"/>
          <w:szCs w:val="22"/>
        </w:rPr>
        <w:t>v</w:t>
      </w:r>
      <w:r w:rsidR="009E13DB">
        <w:rPr>
          <w:rFonts w:asciiTheme="minorHAnsi" w:hAnsiTheme="minorHAnsi"/>
          <w:sz w:val="22"/>
          <w:szCs w:val="22"/>
        </w:rPr>
        <w:t>ýznamným</w:t>
      </w:r>
      <w:r w:rsidR="00A1107B">
        <w:rPr>
          <w:rFonts w:asciiTheme="minorHAnsi" w:hAnsiTheme="minorHAnsi"/>
          <w:sz w:val="22"/>
          <w:szCs w:val="22"/>
        </w:rPr>
        <w:t xml:space="preserve"> faktorem ovlivňujícím rozvojové plány českých společností je rovněž </w:t>
      </w:r>
      <w:r w:rsidR="009E13DB">
        <w:rPr>
          <w:rFonts w:asciiTheme="minorHAnsi" w:hAnsiTheme="minorHAnsi"/>
          <w:sz w:val="22"/>
          <w:szCs w:val="22"/>
        </w:rPr>
        <w:t xml:space="preserve">očekávaný </w:t>
      </w:r>
      <w:r w:rsidR="00A1107B">
        <w:rPr>
          <w:rFonts w:asciiTheme="minorHAnsi" w:hAnsiTheme="minorHAnsi"/>
          <w:sz w:val="22"/>
          <w:szCs w:val="22"/>
        </w:rPr>
        <w:t>budoucí rozvoj jaderné energetiky v ČR</w:t>
      </w:r>
      <w:r w:rsidR="009E13DB">
        <w:rPr>
          <w:rFonts w:asciiTheme="minorHAnsi" w:hAnsiTheme="minorHAnsi"/>
          <w:sz w:val="22"/>
          <w:szCs w:val="22"/>
        </w:rPr>
        <w:t>, který je definován ve Státní energetické koncepci</w:t>
      </w:r>
      <w:r w:rsidR="002A7B1C">
        <w:rPr>
          <w:rFonts w:asciiTheme="minorHAnsi" w:hAnsiTheme="minorHAnsi"/>
          <w:sz w:val="22"/>
          <w:szCs w:val="22"/>
        </w:rPr>
        <w:t>.</w:t>
      </w:r>
    </w:p>
    <w:p w:rsidR="00DB6DBA" w:rsidRDefault="00DB6DBA" w:rsidP="00DB6DBA">
      <w:pPr>
        <w:jc w:val="both"/>
      </w:pPr>
      <w:r w:rsidRPr="00024291">
        <w:lastRenderedPageBreak/>
        <w:t xml:space="preserve">České společnosti v současné době jsou schopny zajistit </w:t>
      </w:r>
      <w:r>
        <w:t xml:space="preserve">významný rozsah dodávek a služeb potřebných pro výstavbu nových jaderných zdrojů. </w:t>
      </w:r>
      <w:r w:rsidR="000B0AFF">
        <w:t>Přestože n</w:t>
      </w:r>
      <w:r>
        <w:t xml:space="preserve">edisponují licenčními právy k projektům generace </w:t>
      </w:r>
      <w:r w:rsidR="00E22490">
        <w:t>III</w:t>
      </w:r>
      <w:r>
        <w:t xml:space="preserve">+, ani kompetencí </w:t>
      </w:r>
      <w:r w:rsidR="004B710E">
        <w:t xml:space="preserve">pro </w:t>
      </w:r>
      <w:r>
        <w:t>komplexní dodávk</w:t>
      </w:r>
      <w:r w:rsidR="004B710E">
        <w:t>u</w:t>
      </w:r>
      <w:r>
        <w:t xml:space="preserve"> celé jaderné elektrárny</w:t>
      </w:r>
      <w:r w:rsidR="000B0AFF">
        <w:t>,</w:t>
      </w:r>
      <w:r>
        <w:t xml:space="preserve"> mohou hrát významnou roli v dodavatelském řetězci </w:t>
      </w:r>
      <w:proofErr w:type="spellStart"/>
      <w:r w:rsidR="003C08E8" w:rsidRPr="003C08E8">
        <w:t>Engineering</w:t>
      </w:r>
      <w:proofErr w:type="spellEnd"/>
      <w:r w:rsidR="003C08E8" w:rsidRPr="003C08E8">
        <w:t xml:space="preserve">, </w:t>
      </w:r>
      <w:proofErr w:type="spellStart"/>
      <w:r w:rsidR="003C08E8" w:rsidRPr="003C08E8">
        <w:t>Procurement</w:t>
      </w:r>
      <w:proofErr w:type="spellEnd"/>
      <w:r w:rsidR="003C08E8" w:rsidRPr="003C08E8">
        <w:t xml:space="preserve">, </w:t>
      </w:r>
      <w:proofErr w:type="spellStart"/>
      <w:r w:rsidR="003C08E8" w:rsidRPr="003C08E8">
        <w:t>Construction</w:t>
      </w:r>
      <w:proofErr w:type="spellEnd"/>
      <w:r w:rsidR="003C08E8" w:rsidRPr="003C08E8">
        <w:t xml:space="preserve"> </w:t>
      </w:r>
      <w:r w:rsidR="003C08E8">
        <w:t>(</w:t>
      </w:r>
      <w:r>
        <w:t>EPC</w:t>
      </w:r>
      <w:r w:rsidR="003C08E8">
        <w:t>)</w:t>
      </w:r>
      <w:r>
        <w:t xml:space="preserve"> dodavatele během výstavby (až 75 % podíl na celkových nákladech výstavby), což jim umožní rozvinout jejich kompetence pro podporu dlouhodobého provozu a údržby jaderných elektráren, kde se předpokládá jejich klíčová role. Účast na výstavbě jaderných elektráren v ČR navíc otevře českým společnostem možnosti budoucího uplatnění na výstavbě jaderných elektráren v zahraničí, a to společně s vybraným EPC dodavatelem. </w:t>
      </w:r>
    </w:p>
    <w:p w:rsidR="00DB6DBA" w:rsidRPr="00024291" w:rsidRDefault="00E22490" w:rsidP="00DB6DBA">
      <w:pPr>
        <w:jc w:val="both"/>
      </w:pPr>
      <w:r>
        <w:t>Nová energetická</w:t>
      </w:r>
      <w:r w:rsidR="00DB6DBA" w:rsidRPr="00024291">
        <w:t xml:space="preserve"> koncepce a systém výstavby nového jaderné</w:t>
      </w:r>
      <w:r>
        <w:t>ho</w:t>
      </w:r>
      <w:r w:rsidR="00DB6DBA" w:rsidRPr="00024291">
        <w:t xml:space="preserve"> zdroje tak musí (chceme-li udržet know-how ČR v oblasti jaderné energetiky minimálně na stejné úrovni, ideálně vyšší), zahrnovat podstatným způsobem český dodavatelský průmysl.</w:t>
      </w:r>
      <w:r w:rsidR="00DB6DBA">
        <w:t xml:space="preserve"> Č</w:t>
      </w:r>
      <w:r w:rsidR="00DB6DBA" w:rsidRPr="00024291">
        <w:t>eské společnosti jsou při ideální konfiguraci dodavatele technologie schopn</w:t>
      </w:r>
      <w:r w:rsidR="00DB6DBA">
        <w:t>y</w:t>
      </w:r>
      <w:r w:rsidR="00DB6DBA" w:rsidRPr="00024291">
        <w:t xml:space="preserve"> zajistit až 75% dodávek celé jaderné elektrárny a sehrát významnou roli při celkové koordinaci výstavby.</w:t>
      </w:r>
    </w:p>
    <w:p w:rsidR="00DB6DBA" w:rsidRPr="00024291" w:rsidRDefault="00DB6DBA" w:rsidP="00DB6DBA">
      <w:pPr>
        <w:jc w:val="both"/>
      </w:pPr>
      <w:r>
        <w:t>To umožní</w:t>
      </w:r>
      <w:r w:rsidRPr="00024291">
        <w:t xml:space="preserve"> zachov</w:t>
      </w:r>
      <w:r>
        <w:t>at</w:t>
      </w:r>
      <w:r w:rsidRPr="00024291">
        <w:t xml:space="preserve"> potenciál</w:t>
      </w:r>
      <w:r w:rsidR="00E22490">
        <w:t xml:space="preserve"> českého dodavatelského jaderně </w:t>
      </w:r>
      <w:r w:rsidRPr="00024291">
        <w:t>energetického průmyslu a bude dán základ pro jeho růst, expanzi a budoucí samostatnost provozovatele nových jaderných bloků při jejich údržbě, modernizaci a odstavování.  Zároveň bude přeneseno na dodavatele know-how spojené s novými technologiemi a bude dán základ pro budoucí export zařízení pro obdobné bloky v zahraničí (zejména ve střední a východní Evropě). V opačném případě hrozí ztráta know-how, a přechod i klíčových jaderně dodavatelských společností na jiné obory podnikání, pokud budou chtít zachovat svoji existenci (proces, který již byl v podstatě zahájen).</w:t>
      </w:r>
    </w:p>
    <w:p w:rsidR="00372826" w:rsidRDefault="00227C7E" w:rsidP="00227C7E">
      <w:pPr>
        <w:jc w:val="both"/>
      </w:pPr>
      <w:r>
        <w:t xml:space="preserve">Z výše uvedených důvodů je vhodné v rámci budoucího výběrového řízení NJZ definovat konkrétní nástroje (např. garantovaný podíl českého průmyslu, spoluúčast investora na subdodavatelských výběrových řízeních, aplikace „last call“ apod.) pro maximalizaci podílu českých firem na výstavbě, přičemž rozsah a struktura těchto nástrojů bude závislá na aplikovaném modelu obchodního zajištění a z něj vyplývajících legislativních omezení. Je zřejmé, že v případě postupu dle </w:t>
      </w:r>
      <w:r w:rsidR="00192264">
        <w:t>zákona o veřejných zakázkách (</w:t>
      </w:r>
      <w:r>
        <w:t>ZVZ</w:t>
      </w:r>
      <w:r w:rsidR="00192264">
        <w:t>)</w:t>
      </w:r>
      <w:r>
        <w:t xml:space="preserve"> je možné využití výše uvedených nástrojů výrazně omezeno.</w:t>
      </w:r>
    </w:p>
    <w:p w:rsidR="00372826" w:rsidRDefault="00372826">
      <w:r>
        <w:br w:type="page"/>
      </w:r>
    </w:p>
    <w:p w:rsidR="009E13DB" w:rsidRPr="00301378" w:rsidRDefault="009E13DB" w:rsidP="009E13DB">
      <w:pPr>
        <w:pStyle w:val="Nadpis1"/>
      </w:pPr>
      <w:bookmarkStart w:id="195" w:name="_Toc407035607"/>
      <w:bookmarkStart w:id="196" w:name="_Toc420056018"/>
      <w:bookmarkStart w:id="197" w:name="_Toc407035580"/>
      <w:r w:rsidRPr="00301378">
        <w:lastRenderedPageBreak/>
        <w:t>Organizace sektoru a role státu</w:t>
      </w:r>
      <w:bookmarkEnd w:id="195"/>
      <w:bookmarkEnd w:id="196"/>
    </w:p>
    <w:p w:rsidR="009E13DB" w:rsidRPr="00301378" w:rsidRDefault="009E13DB" w:rsidP="009E13DB">
      <w:pPr>
        <w:jc w:val="both"/>
        <w:rPr>
          <w:szCs w:val="20"/>
        </w:rPr>
      </w:pPr>
      <w:r w:rsidRPr="00301378">
        <w:rPr>
          <w:szCs w:val="20"/>
        </w:rPr>
        <w:t>Jaderná energetika má široký rozsah - strojírenství , školství, věda a výzkum, specifika státní správy v jaderné oblasti (doz</w:t>
      </w:r>
      <w:r>
        <w:rPr>
          <w:szCs w:val="20"/>
        </w:rPr>
        <w:t xml:space="preserve">or, řešení paliva, odpovědnost) a zasahuje přímo či nepřímo </w:t>
      </w:r>
      <w:r w:rsidR="004B710E">
        <w:rPr>
          <w:szCs w:val="20"/>
        </w:rPr>
        <w:t xml:space="preserve">do </w:t>
      </w:r>
      <w:r>
        <w:rPr>
          <w:szCs w:val="20"/>
        </w:rPr>
        <w:t>mnoh</w:t>
      </w:r>
      <w:r w:rsidR="004B710E">
        <w:rPr>
          <w:szCs w:val="20"/>
        </w:rPr>
        <w:t>a</w:t>
      </w:r>
      <w:r>
        <w:rPr>
          <w:szCs w:val="20"/>
        </w:rPr>
        <w:t xml:space="preserve"> sektorů ekonomiky. Dobrý stav a připravenost všech relevantních oblastí jsou nezbytné pro vlastní výstavbu jaderných</w:t>
      </w:r>
      <w:r w:rsidR="00E22490">
        <w:rPr>
          <w:szCs w:val="20"/>
        </w:rPr>
        <w:t xml:space="preserve"> zařízení v plánovaném čase</w:t>
      </w:r>
      <w:r>
        <w:rPr>
          <w:szCs w:val="20"/>
        </w:rPr>
        <w:t xml:space="preserve"> i</w:t>
      </w:r>
      <w:r w:rsidR="00E22490">
        <w:rPr>
          <w:szCs w:val="20"/>
        </w:rPr>
        <w:t xml:space="preserve"> pro</w:t>
      </w:r>
      <w:r>
        <w:rPr>
          <w:szCs w:val="20"/>
        </w:rPr>
        <w:t xml:space="preserve"> zajištění provozu a bezpečnosti na vysoké úrovni. </w:t>
      </w:r>
      <w:r w:rsidRPr="00301378">
        <w:rPr>
          <w:szCs w:val="20"/>
        </w:rPr>
        <w:t xml:space="preserve">Rozvoj jaderné energetiky je ve všech zemích organizován a podporován státem. Stát nebo státní podnik je </w:t>
      </w:r>
      <w:r>
        <w:rPr>
          <w:szCs w:val="20"/>
        </w:rPr>
        <w:t xml:space="preserve">také většinou </w:t>
      </w:r>
      <w:r w:rsidRPr="00301378">
        <w:rPr>
          <w:szCs w:val="20"/>
        </w:rPr>
        <w:t xml:space="preserve">buď přímo investorem, nebo poskytuje garance (s </w:t>
      </w:r>
      <w:r w:rsidR="008A264F">
        <w:rPr>
          <w:szCs w:val="20"/>
        </w:rPr>
        <w:t>výjimkou výstavby f</w:t>
      </w:r>
      <w:r w:rsidRPr="00301378">
        <w:rPr>
          <w:szCs w:val="20"/>
        </w:rPr>
        <w:t>inských elektráren</w:t>
      </w:r>
      <w:r>
        <w:rPr>
          <w:szCs w:val="20"/>
        </w:rPr>
        <w:t>, které jsou financovány na principu spotřebního družstva</w:t>
      </w:r>
      <w:r w:rsidRPr="00301378">
        <w:rPr>
          <w:szCs w:val="20"/>
        </w:rPr>
        <w:t>).</w:t>
      </w:r>
    </w:p>
    <w:p w:rsidR="009E13DB" w:rsidRPr="00301378" w:rsidRDefault="009E13DB" w:rsidP="009E13DB">
      <w:pPr>
        <w:jc w:val="both"/>
      </w:pPr>
      <w:r w:rsidRPr="00301378">
        <w:t>Organizace sektoru je úzce svázána s kritickými předpoklady realizace akčního plánu.</w:t>
      </w:r>
    </w:p>
    <w:p w:rsidR="009E13DB" w:rsidRPr="00301378" w:rsidRDefault="009E13DB" w:rsidP="009E13DB">
      <w:pPr>
        <w:jc w:val="both"/>
      </w:pPr>
      <w:r w:rsidRPr="00301378">
        <w:t>Spočívá v:</w:t>
      </w:r>
    </w:p>
    <w:p w:rsidR="009E13DB" w:rsidRPr="00301378" w:rsidRDefault="00FF39EE" w:rsidP="00372826">
      <w:pPr>
        <w:numPr>
          <w:ilvl w:val="0"/>
          <w:numId w:val="54"/>
        </w:numPr>
        <w:spacing w:after="0"/>
        <w:jc w:val="both"/>
      </w:pPr>
      <w:r>
        <w:t>D</w:t>
      </w:r>
      <w:r w:rsidR="009E13DB" w:rsidRPr="00301378">
        <w:t>efinici akčního plánu</w:t>
      </w:r>
      <w:r w:rsidR="009E13DB">
        <w:t xml:space="preserve"> rozvoje</w:t>
      </w:r>
    </w:p>
    <w:p w:rsidR="009E13DB" w:rsidRPr="00301378" w:rsidRDefault="00FF39EE" w:rsidP="00372826">
      <w:pPr>
        <w:numPr>
          <w:ilvl w:val="0"/>
          <w:numId w:val="54"/>
        </w:numPr>
        <w:spacing w:after="0"/>
        <w:jc w:val="both"/>
      </w:pPr>
      <w:r>
        <w:t>D</w:t>
      </w:r>
      <w:r w:rsidR="009E13DB" w:rsidRPr="00301378">
        <w:t>efinici jednoznačné odpovědnosti za jeho realizaci</w:t>
      </w:r>
    </w:p>
    <w:p w:rsidR="009E13DB" w:rsidRPr="00301378" w:rsidRDefault="00FF39EE" w:rsidP="00372826">
      <w:pPr>
        <w:numPr>
          <w:ilvl w:val="0"/>
          <w:numId w:val="54"/>
        </w:numPr>
        <w:spacing w:after="0"/>
        <w:jc w:val="both"/>
      </w:pPr>
      <w:r>
        <w:t>S</w:t>
      </w:r>
      <w:r w:rsidR="009E13DB" w:rsidRPr="00301378">
        <w:t>jednocení odpovědností se správou energetických společností s majetkovými podíly státu</w:t>
      </w:r>
      <w:r w:rsidR="009E13DB">
        <w:t xml:space="preserve"> a</w:t>
      </w:r>
      <w:r w:rsidR="001B3793">
        <w:t> </w:t>
      </w:r>
      <w:r w:rsidR="009E13DB">
        <w:t>dialog</w:t>
      </w:r>
      <w:r w:rsidR="00E22490">
        <w:t>u</w:t>
      </w:r>
      <w:r w:rsidR="009E13DB">
        <w:t xml:space="preserve"> se soukromými subjekty, které jsou důležitou součástí řetězce</w:t>
      </w:r>
    </w:p>
    <w:p w:rsidR="009E13DB" w:rsidRPr="00301378" w:rsidRDefault="00FF39EE" w:rsidP="00372826">
      <w:pPr>
        <w:numPr>
          <w:ilvl w:val="0"/>
          <w:numId w:val="54"/>
        </w:numPr>
        <w:spacing w:after="0"/>
        <w:jc w:val="both"/>
      </w:pPr>
      <w:r>
        <w:t>S</w:t>
      </w:r>
      <w:r w:rsidR="009E13DB" w:rsidRPr="00301378">
        <w:t>měrování všech institucí dle zvolené strategie z titulu vlády a státní správy</w:t>
      </w:r>
    </w:p>
    <w:p w:rsidR="009E13DB" w:rsidRPr="00301378" w:rsidRDefault="00FF39EE" w:rsidP="00372826">
      <w:pPr>
        <w:numPr>
          <w:ilvl w:val="0"/>
          <w:numId w:val="54"/>
        </w:numPr>
        <w:ind w:left="714" w:hanging="357"/>
        <w:jc w:val="both"/>
      </w:pPr>
      <w:r>
        <w:t>Z</w:t>
      </w:r>
      <w:r w:rsidR="009E13DB" w:rsidRPr="00301378">
        <w:t xml:space="preserve">aměření se na kritické části </w:t>
      </w:r>
      <w:r w:rsidR="009E13DB">
        <w:t>akčního plánu a kritické oblasti jeho</w:t>
      </w:r>
      <w:r w:rsidR="009E13DB" w:rsidRPr="00301378">
        <w:t xml:space="preserve"> úči</w:t>
      </w:r>
      <w:r w:rsidR="00E22490">
        <w:t>nnosti a jejich postupné řešení</w:t>
      </w:r>
    </w:p>
    <w:p w:rsidR="009E13DB" w:rsidRPr="006E27B7" w:rsidRDefault="009E13DB" w:rsidP="009E13DB">
      <w:pPr>
        <w:pStyle w:val="Nadpis2"/>
      </w:pPr>
      <w:bookmarkStart w:id="198" w:name="_Toc407035608"/>
      <w:bookmarkStart w:id="199" w:name="_Toc420056019"/>
      <w:r w:rsidRPr="006E27B7">
        <w:t>Vize a akční plán</w:t>
      </w:r>
      <w:bookmarkEnd w:id="198"/>
      <w:bookmarkEnd w:id="199"/>
    </w:p>
    <w:p w:rsidR="009E13DB" w:rsidRDefault="009E13DB" w:rsidP="009E13DB">
      <w:pPr>
        <w:jc w:val="both"/>
        <w:rPr>
          <w:szCs w:val="20"/>
        </w:rPr>
      </w:pPr>
      <w:r w:rsidRPr="00C72397">
        <w:rPr>
          <w:szCs w:val="20"/>
        </w:rPr>
        <w:t>St</w:t>
      </w:r>
      <w:r>
        <w:rPr>
          <w:szCs w:val="20"/>
        </w:rPr>
        <w:t xml:space="preserve">át </w:t>
      </w:r>
      <w:r w:rsidR="008A264F">
        <w:rPr>
          <w:szCs w:val="20"/>
        </w:rPr>
        <w:t xml:space="preserve">formuloval </w:t>
      </w:r>
      <w:r>
        <w:rPr>
          <w:szCs w:val="20"/>
        </w:rPr>
        <w:t xml:space="preserve">veřejnou poptávku </w:t>
      </w:r>
      <w:r w:rsidRPr="00C72397">
        <w:rPr>
          <w:szCs w:val="20"/>
        </w:rPr>
        <w:t>po rozsahu jaderné energetiky v</w:t>
      </w:r>
      <w:r>
        <w:rPr>
          <w:szCs w:val="20"/>
        </w:rPr>
        <w:t>e státní energetické koncepci. Státní energetická koncepce je schválena řádným procesem včetně posouzení dopadů na životní prostředí a sociálně</w:t>
      </w:r>
      <w:r w:rsidR="004B710E">
        <w:rPr>
          <w:szCs w:val="20"/>
        </w:rPr>
        <w:t>-</w:t>
      </w:r>
      <w:r>
        <w:rPr>
          <w:szCs w:val="20"/>
        </w:rPr>
        <w:t>ekonomických dopadů. Je důležité, aby tato koncepce byla akceptována i</w:t>
      </w:r>
      <w:r w:rsidR="001B3793">
        <w:rPr>
          <w:szCs w:val="20"/>
        </w:rPr>
        <w:t> </w:t>
      </w:r>
      <w:r>
        <w:rPr>
          <w:szCs w:val="20"/>
        </w:rPr>
        <w:t>aktuální opozicí a projednána sněmovnou tak, aby představovala politický závazek i pro budoucí vlády. Státní energetická koncepce definuje zdrojový mix ČR, úlohu jaderné energetiky v něm a</w:t>
      </w:r>
      <w:r w:rsidR="00FB0D80">
        <w:rPr>
          <w:szCs w:val="20"/>
        </w:rPr>
        <w:t> </w:t>
      </w:r>
      <w:r w:rsidR="00AE7C5D">
        <w:rPr>
          <w:szCs w:val="20"/>
        </w:rPr>
        <w:t>základní časový rámec rozvoje.</w:t>
      </w:r>
    </w:p>
    <w:p w:rsidR="00FB0D80" w:rsidRDefault="009E13DB" w:rsidP="009E13DB">
      <w:pPr>
        <w:jc w:val="both"/>
        <w:rPr>
          <w:szCs w:val="20"/>
        </w:rPr>
      </w:pPr>
      <w:r>
        <w:rPr>
          <w:szCs w:val="20"/>
        </w:rPr>
        <w:t>Národní a</w:t>
      </w:r>
      <w:r w:rsidRPr="00C72397">
        <w:rPr>
          <w:szCs w:val="20"/>
        </w:rPr>
        <w:t>kční plán rozvoje jaderné energetiky</w:t>
      </w:r>
      <w:r>
        <w:rPr>
          <w:szCs w:val="20"/>
        </w:rPr>
        <w:t xml:space="preserve"> je dokumentem navazujícím na Státní energetickou koncepci, který </w:t>
      </w:r>
      <w:r w:rsidR="008A264F">
        <w:rPr>
          <w:szCs w:val="20"/>
        </w:rPr>
        <w:t>v mezích jejích strategických cílů a koridorů pro strukturu výroby elektrické energie a</w:t>
      </w:r>
      <w:r w:rsidR="00FB0D80">
        <w:rPr>
          <w:szCs w:val="20"/>
        </w:rPr>
        <w:t> </w:t>
      </w:r>
      <w:r w:rsidR="008A264F">
        <w:rPr>
          <w:szCs w:val="20"/>
        </w:rPr>
        <w:t xml:space="preserve">využívání jednotlivých </w:t>
      </w:r>
      <w:r w:rsidR="001E306B">
        <w:rPr>
          <w:szCs w:val="20"/>
        </w:rPr>
        <w:t xml:space="preserve">primárních energetických zdrojů </w:t>
      </w:r>
      <w:r w:rsidR="008A264F">
        <w:rPr>
          <w:szCs w:val="20"/>
        </w:rPr>
        <w:t xml:space="preserve">pouze konkretizuje </w:t>
      </w:r>
      <w:r>
        <w:rPr>
          <w:szCs w:val="20"/>
        </w:rPr>
        <w:t>realizační program. D</w:t>
      </w:r>
      <w:r w:rsidRPr="00C72397">
        <w:rPr>
          <w:szCs w:val="20"/>
        </w:rPr>
        <w:t xml:space="preserve">efinuje úkoly pro </w:t>
      </w:r>
      <w:r>
        <w:rPr>
          <w:szCs w:val="20"/>
        </w:rPr>
        <w:t>jednotlivé rezorty</w:t>
      </w:r>
      <w:r w:rsidRPr="00C72397">
        <w:rPr>
          <w:szCs w:val="20"/>
        </w:rPr>
        <w:t xml:space="preserve"> (legislativa, koncepce, výkon státní správy)</w:t>
      </w:r>
      <w:r w:rsidR="00EE5303">
        <w:rPr>
          <w:szCs w:val="20"/>
        </w:rPr>
        <w:t>,</w:t>
      </w:r>
      <w:r w:rsidRPr="00C72397">
        <w:rPr>
          <w:szCs w:val="20"/>
        </w:rPr>
        <w:t xml:space="preserve"> zejména průmysl</w:t>
      </w:r>
      <w:r w:rsidR="00E22490">
        <w:rPr>
          <w:szCs w:val="20"/>
        </w:rPr>
        <w:t>u</w:t>
      </w:r>
      <w:r w:rsidRPr="00C72397">
        <w:rPr>
          <w:szCs w:val="20"/>
        </w:rPr>
        <w:t>, školství, věd</w:t>
      </w:r>
      <w:r w:rsidR="00E22490">
        <w:rPr>
          <w:szCs w:val="20"/>
        </w:rPr>
        <w:t>y</w:t>
      </w:r>
      <w:r w:rsidRPr="00C72397">
        <w:rPr>
          <w:szCs w:val="20"/>
        </w:rPr>
        <w:t xml:space="preserve"> a výzkum</w:t>
      </w:r>
      <w:r w:rsidR="00E22490">
        <w:rPr>
          <w:szCs w:val="20"/>
        </w:rPr>
        <w:t>u</w:t>
      </w:r>
      <w:r w:rsidRPr="00C72397">
        <w:rPr>
          <w:szCs w:val="20"/>
        </w:rPr>
        <w:t>, legislativ</w:t>
      </w:r>
      <w:r w:rsidR="00E22490">
        <w:rPr>
          <w:szCs w:val="20"/>
        </w:rPr>
        <w:t>y</w:t>
      </w:r>
      <w:r w:rsidRPr="00C72397">
        <w:rPr>
          <w:szCs w:val="20"/>
        </w:rPr>
        <w:t>, místní</w:t>
      </w:r>
      <w:r w:rsidR="00E22490">
        <w:rPr>
          <w:szCs w:val="20"/>
        </w:rPr>
        <w:t>ho</w:t>
      </w:r>
      <w:r w:rsidRPr="00C72397">
        <w:rPr>
          <w:szCs w:val="20"/>
        </w:rPr>
        <w:t xml:space="preserve"> rozvoj</w:t>
      </w:r>
      <w:r w:rsidR="00E22490">
        <w:rPr>
          <w:szCs w:val="20"/>
        </w:rPr>
        <w:t>e</w:t>
      </w:r>
      <w:r w:rsidRPr="00C72397">
        <w:rPr>
          <w:szCs w:val="20"/>
        </w:rPr>
        <w:t>, doprav</w:t>
      </w:r>
      <w:r w:rsidR="00E22490">
        <w:rPr>
          <w:szCs w:val="20"/>
        </w:rPr>
        <w:t>y,</w:t>
      </w:r>
      <w:r w:rsidRPr="00C72397">
        <w:rPr>
          <w:szCs w:val="20"/>
        </w:rPr>
        <w:t xml:space="preserve"> zahraničí</w:t>
      </w:r>
      <w:r w:rsidR="00FF39EE">
        <w:rPr>
          <w:szCs w:val="20"/>
        </w:rPr>
        <w:t>. Definuje také</w:t>
      </w:r>
      <w:r>
        <w:rPr>
          <w:szCs w:val="20"/>
        </w:rPr>
        <w:t xml:space="preserve"> způsob koordinace jednotlivých sektorů a časového plánu, způsob vyhodnocování plnění akčního plánu a</w:t>
      </w:r>
      <w:r w:rsidR="00FB0D80">
        <w:rPr>
          <w:szCs w:val="20"/>
        </w:rPr>
        <w:t> </w:t>
      </w:r>
      <w:r>
        <w:rPr>
          <w:szCs w:val="20"/>
        </w:rPr>
        <w:t>způsob přijímání korektivních opatření. Státní energetická koncepce jako dlouhodobý strategický dokument je vyhodnocována v pětiletých cyklech. NAP JE by měl být vyhodnocován a dle potřeby aktualizován jednou za 5 let. NAP JE schvaluje vláda a je dílčím plánem realizace Státní energetické koncepce pro oblast jaderné energetiky.</w:t>
      </w:r>
    </w:p>
    <w:p w:rsidR="00FB0D80" w:rsidRDefault="00FB0D80">
      <w:pPr>
        <w:rPr>
          <w:szCs w:val="20"/>
        </w:rPr>
      </w:pPr>
      <w:r>
        <w:rPr>
          <w:szCs w:val="20"/>
        </w:rPr>
        <w:br w:type="page"/>
      </w:r>
    </w:p>
    <w:p w:rsidR="009E13DB" w:rsidRPr="006E27B7" w:rsidRDefault="009E13DB" w:rsidP="009E13DB">
      <w:pPr>
        <w:pStyle w:val="Nadpis2"/>
      </w:pPr>
      <w:bookmarkStart w:id="200" w:name="_Toc407035609"/>
      <w:bookmarkStart w:id="201" w:name="_Toc420056020"/>
      <w:r w:rsidRPr="006E27B7">
        <w:lastRenderedPageBreak/>
        <w:t>Koordinace rozvoje jaderné energetiky</w:t>
      </w:r>
      <w:bookmarkEnd w:id="200"/>
      <w:bookmarkEnd w:id="201"/>
    </w:p>
    <w:p w:rsidR="00725316" w:rsidRDefault="00725316" w:rsidP="009E13DB">
      <w:pPr>
        <w:jc w:val="both"/>
        <w:rPr>
          <w:szCs w:val="20"/>
        </w:rPr>
      </w:pPr>
      <w:r>
        <w:rPr>
          <w:szCs w:val="20"/>
        </w:rPr>
        <w:t>V současné době není koordinace rozvoje jaderné energetiky cíleně prováděna. Žádoucí stav je následující:</w:t>
      </w:r>
    </w:p>
    <w:p w:rsidR="009E13DB" w:rsidRDefault="009E13DB" w:rsidP="009E13DB">
      <w:pPr>
        <w:jc w:val="both"/>
        <w:rPr>
          <w:szCs w:val="20"/>
        </w:rPr>
      </w:pPr>
      <w:r>
        <w:rPr>
          <w:szCs w:val="20"/>
        </w:rPr>
        <w:t xml:space="preserve">Koordinaci provádí </w:t>
      </w:r>
      <w:r w:rsidRPr="001B3793">
        <w:rPr>
          <w:szCs w:val="20"/>
        </w:rPr>
        <w:t>stálý výbor</w:t>
      </w:r>
      <w:r w:rsidRPr="00C72397">
        <w:rPr>
          <w:szCs w:val="20"/>
        </w:rPr>
        <w:t xml:space="preserve"> v čele s</w:t>
      </w:r>
      <w:r>
        <w:rPr>
          <w:szCs w:val="20"/>
        </w:rPr>
        <w:t> </w:t>
      </w:r>
      <w:r w:rsidR="00B94C92">
        <w:rPr>
          <w:szCs w:val="20"/>
        </w:rPr>
        <w:t>ministrem průmyslu a obchodu</w:t>
      </w:r>
      <w:r>
        <w:rPr>
          <w:szCs w:val="20"/>
        </w:rPr>
        <w:t xml:space="preserve">. Tajemníkem vládního výboru je vládní zmocněnec pro jadernou energetiku. </w:t>
      </w:r>
    </w:p>
    <w:p w:rsidR="009E13DB" w:rsidRDefault="00B94C92" w:rsidP="009E13DB">
      <w:pPr>
        <w:jc w:val="both"/>
        <w:rPr>
          <w:szCs w:val="20"/>
        </w:rPr>
      </w:pPr>
      <w:r>
        <w:rPr>
          <w:szCs w:val="20"/>
        </w:rPr>
        <w:t>V</w:t>
      </w:r>
      <w:r w:rsidR="009E13DB">
        <w:rPr>
          <w:szCs w:val="20"/>
        </w:rPr>
        <w:t>ýbor projednává pravidelné čtvrtletní informace o plnění akčního plánu rozvoje jaderné energetiky, navrhuje vládě opatření správního a legislativního charakteru potřebná pro naplňování akčního plánu a navrhuje úkoly pro j</w:t>
      </w:r>
      <w:r w:rsidR="00AE7C5D">
        <w:rPr>
          <w:szCs w:val="20"/>
        </w:rPr>
        <w:t>ednotlivé orgány státní správy.</w:t>
      </w:r>
    </w:p>
    <w:p w:rsidR="009E13DB" w:rsidRDefault="009E13DB" w:rsidP="009E13DB">
      <w:pPr>
        <w:jc w:val="both"/>
        <w:rPr>
          <w:szCs w:val="20"/>
        </w:rPr>
      </w:pPr>
      <w:r>
        <w:rPr>
          <w:szCs w:val="20"/>
        </w:rPr>
        <w:t>Členy stálého vládního Výboru pro jadernou energetiku jsou členové vlády, předseda SÚJB, předseda SÚRAO, zmocněnec vlády pro JE, předseda představenstva ČEZ, a.s., ředitel CV</w:t>
      </w:r>
      <w:r w:rsidR="005127CD">
        <w:rPr>
          <w:szCs w:val="20"/>
        </w:rPr>
        <w:t xml:space="preserve"> ŘEŽ s.r.o</w:t>
      </w:r>
      <w:r>
        <w:rPr>
          <w:szCs w:val="20"/>
        </w:rPr>
        <w:t>., představitel sdružení jaderného průmyslu a další dl</w:t>
      </w:r>
      <w:r w:rsidR="00AE7C5D">
        <w:rPr>
          <w:szCs w:val="20"/>
        </w:rPr>
        <w:t>e statutu schvalovaného vládou.</w:t>
      </w:r>
    </w:p>
    <w:p w:rsidR="009E13DB" w:rsidRPr="002376B8" w:rsidRDefault="009E13DB" w:rsidP="009E13DB">
      <w:pPr>
        <w:jc w:val="both"/>
        <w:rPr>
          <w:szCs w:val="20"/>
        </w:rPr>
      </w:pPr>
      <w:r>
        <w:rPr>
          <w:szCs w:val="20"/>
        </w:rPr>
        <w:t>V rámci své koordinační úlohy při plnění akčního plánu se zaměřuje na koordinaci těchto oblastí:</w:t>
      </w:r>
    </w:p>
    <w:p w:rsidR="009E13DB" w:rsidRPr="00301378" w:rsidRDefault="009E13DB" w:rsidP="0044189F">
      <w:pPr>
        <w:pStyle w:val="Odstavecseseznamem"/>
        <w:numPr>
          <w:ilvl w:val="2"/>
          <w:numId w:val="33"/>
        </w:numPr>
        <w:ind w:left="709"/>
        <w:jc w:val="both"/>
        <w:rPr>
          <w:szCs w:val="20"/>
        </w:rPr>
      </w:pPr>
      <w:r w:rsidRPr="00301378">
        <w:rPr>
          <w:szCs w:val="20"/>
        </w:rPr>
        <w:t>Dodavatelský řetězec</w:t>
      </w:r>
      <w:r>
        <w:rPr>
          <w:szCs w:val="20"/>
        </w:rPr>
        <w:t xml:space="preserve"> a jeho připravenost na dodávky do ČR i jeho zapojení do mezinárodních dodávek</w:t>
      </w:r>
      <w:r w:rsidR="00B94C92">
        <w:rPr>
          <w:szCs w:val="20"/>
        </w:rPr>
        <w:t>.</w:t>
      </w:r>
    </w:p>
    <w:p w:rsidR="009E13DB" w:rsidRPr="00301378" w:rsidRDefault="009E13DB" w:rsidP="0044189F">
      <w:pPr>
        <w:pStyle w:val="Odstavecseseznamem"/>
        <w:numPr>
          <w:ilvl w:val="2"/>
          <w:numId w:val="33"/>
        </w:numPr>
        <w:ind w:left="709"/>
        <w:jc w:val="both"/>
        <w:rPr>
          <w:szCs w:val="20"/>
        </w:rPr>
      </w:pPr>
      <w:r w:rsidRPr="00301378">
        <w:rPr>
          <w:szCs w:val="20"/>
        </w:rPr>
        <w:t xml:space="preserve">Dodávky </w:t>
      </w:r>
      <w:r>
        <w:rPr>
          <w:szCs w:val="20"/>
        </w:rPr>
        <w:t xml:space="preserve">jaderného paliva pro provoz JE v ČR, aktuální </w:t>
      </w:r>
      <w:r w:rsidRPr="00301378">
        <w:rPr>
          <w:szCs w:val="20"/>
        </w:rPr>
        <w:t>zásoby paliva</w:t>
      </w:r>
      <w:r>
        <w:rPr>
          <w:szCs w:val="20"/>
        </w:rPr>
        <w:t xml:space="preserve"> a dodržování povinností</w:t>
      </w:r>
    </w:p>
    <w:p w:rsidR="009E13DB" w:rsidRPr="00301378" w:rsidRDefault="009E13DB" w:rsidP="0044189F">
      <w:pPr>
        <w:pStyle w:val="Odstavecseseznamem"/>
        <w:numPr>
          <w:ilvl w:val="2"/>
          <w:numId w:val="33"/>
        </w:numPr>
        <w:ind w:left="709"/>
        <w:jc w:val="both"/>
        <w:rPr>
          <w:szCs w:val="20"/>
        </w:rPr>
      </w:pPr>
      <w:r w:rsidRPr="00301378">
        <w:rPr>
          <w:szCs w:val="20"/>
        </w:rPr>
        <w:t>Provozní výkonnost a spolehlivost</w:t>
      </w:r>
      <w:r>
        <w:rPr>
          <w:szCs w:val="20"/>
        </w:rPr>
        <w:t xml:space="preserve"> jaderných zařízení</w:t>
      </w:r>
      <w:r w:rsidR="00B94C92">
        <w:rPr>
          <w:szCs w:val="20"/>
        </w:rPr>
        <w:t>.</w:t>
      </w:r>
    </w:p>
    <w:p w:rsidR="009E13DB" w:rsidRPr="00301378" w:rsidRDefault="009E13DB" w:rsidP="0044189F">
      <w:pPr>
        <w:pStyle w:val="Odstavecseseznamem"/>
        <w:numPr>
          <w:ilvl w:val="2"/>
          <w:numId w:val="33"/>
        </w:numPr>
        <w:ind w:left="709"/>
        <w:jc w:val="both"/>
        <w:rPr>
          <w:szCs w:val="20"/>
        </w:rPr>
      </w:pPr>
      <w:r w:rsidRPr="00301378">
        <w:rPr>
          <w:szCs w:val="20"/>
        </w:rPr>
        <w:t>Lidské zdroje a výhled</w:t>
      </w:r>
      <w:r>
        <w:rPr>
          <w:szCs w:val="20"/>
        </w:rPr>
        <w:t xml:space="preserve"> jejich zabezpečení pro potřeby jaderné energetiky a jaderného průmyslu a výzkumu</w:t>
      </w:r>
      <w:r w:rsidR="00B94C92">
        <w:rPr>
          <w:szCs w:val="20"/>
        </w:rPr>
        <w:t>.</w:t>
      </w:r>
    </w:p>
    <w:p w:rsidR="009E13DB" w:rsidRPr="00301378" w:rsidRDefault="009E13DB" w:rsidP="0044189F">
      <w:pPr>
        <w:pStyle w:val="Odstavecseseznamem"/>
        <w:numPr>
          <w:ilvl w:val="2"/>
          <w:numId w:val="33"/>
        </w:numPr>
        <w:ind w:left="709"/>
        <w:jc w:val="both"/>
        <w:rPr>
          <w:szCs w:val="20"/>
        </w:rPr>
      </w:pPr>
      <w:r w:rsidRPr="00301378">
        <w:rPr>
          <w:szCs w:val="20"/>
        </w:rPr>
        <w:t>Výzkum v oblasti jaderné bezpečnosti, provozní spolehlivosti a RAO</w:t>
      </w:r>
      <w:r>
        <w:rPr>
          <w:szCs w:val="20"/>
        </w:rPr>
        <w:t xml:space="preserve"> a koordinace mezinárodní spolupráce v jaderném výzkumu</w:t>
      </w:r>
      <w:r w:rsidR="00B94C92">
        <w:rPr>
          <w:szCs w:val="20"/>
        </w:rPr>
        <w:t>.</w:t>
      </w:r>
    </w:p>
    <w:p w:rsidR="009E13DB" w:rsidRPr="00301378" w:rsidRDefault="009E13DB" w:rsidP="0044189F">
      <w:pPr>
        <w:pStyle w:val="Odstavecseseznamem"/>
        <w:numPr>
          <w:ilvl w:val="2"/>
          <w:numId w:val="33"/>
        </w:numPr>
        <w:ind w:left="709"/>
        <w:jc w:val="both"/>
        <w:rPr>
          <w:szCs w:val="20"/>
        </w:rPr>
      </w:pPr>
      <w:r w:rsidRPr="00301378">
        <w:rPr>
          <w:szCs w:val="20"/>
        </w:rPr>
        <w:t>Ukládání RAO</w:t>
      </w:r>
      <w:r>
        <w:rPr>
          <w:szCs w:val="20"/>
        </w:rPr>
        <w:t>, na</w:t>
      </w:r>
      <w:r w:rsidR="00B94C92">
        <w:rPr>
          <w:szCs w:val="20"/>
        </w:rPr>
        <w:t>plňování koncepce ukládání RAO.</w:t>
      </w:r>
    </w:p>
    <w:p w:rsidR="009E13DB" w:rsidRPr="00301378" w:rsidRDefault="009E13DB" w:rsidP="0044189F">
      <w:pPr>
        <w:pStyle w:val="Odstavecseseznamem"/>
        <w:numPr>
          <w:ilvl w:val="2"/>
          <w:numId w:val="33"/>
        </w:numPr>
        <w:ind w:left="709"/>
        <w:jc w:val="both"/>
        <w:rPr>
          <w:szCs w:val="20"/>
        </w:rPr>
      </w:pPr>
      <w:r w:rsidRPr="00301378">
        <w:rPr>
          <w:szCs w:val="20"/>
        </w:rPr>
        <w:t>Územní plánování a povolovací procesy</w:t>
      </w:r>
      <w:r>
        <w:rPr>
          <w:szCs w:val="20"/>
        </w:rPr>
        <w:t xml:space="preserve"> jaderných zařízení</w:t>
      </w:r>
      <w:r w:rsidR="00B94C92">
        <w:rPr>
          <w:szCs w:val="20"/>
        </w:rPr>
        <w:t>.</w:t>
      </w:r>
    </w:p>
    <w:p w:rsidR="009E13DB" w:rsidRDefault="009E13DB" w:rsidP="0044189F">
      <w:pPr>
        <w:pStyle w:val="Odstavecseseznamem"/>
        <w:numPr>
          <w:ilvl w:val="2"/>
          <w:numId w:val="33"/>
        </w:numPr>
        <w:ind w:left="709"/>
        <w:jc w:val="both"/>
        <w:rPr>
          <w:szCs w:val="20"/>
        </w:rPr>
      </w:pPr>
      <w:r w:rsidRPr="00301378">
        <w:rPr>
          <w:szCs w:val="20"/>
        </w:rPr>
        <w:t xml:space="preserve">Koordinaci mezinárodní spolupráce v oblasti </w:t>
      </w:r>
      <w:r>
        <w:rPr>
          <w:szCs w:val="20"/>
        </w:rPr>
        <w:t>jaderné energetiky</w:t>
      </w:r>
      <w:r w:rsidR="00B94C92">
        <w:rPr>
          <w:szCs w:val="20"/>
        </w:rPr>
        <w:t>.</w:t>
      </w:r>
    </w:p>
    <w:p w:rsidR="009E13DB" w:rsidRDefault="009E13DB" w:rsidP="0044189F">
      <w:pPr>
        <w:pStyle w:val="Odstavecseseznamem"/>
        <w:numPr>
          <w:ilvl w:val="2"/>
          <w:numId w:val="33"/>
        </w:numPr>
        <w:ind w:left="709"/>
        <w:jc w:val="both"/>
        <w:rPr>
          <w:szCs w:val="20"/>
        </w:rPr>
      </w:pPr>
      <w:r>
        <w:rPr>
          <w:szCs w:val="20"/>
        </w:rPr>
        <w:t>Plán rozvoje legislativy v oblasti výstavby a provozu jaderných elektráren</w:t>
      </w:r>
      <w:r w:rsidR="00B94C92">
        <w:rPr>
          <w:szCs w:val="20"/>
        </w:rPr>
        <w:t>.</w:t>
      </w:r>
    </w:p>
    <w:p w:rsidR="009E13DB" w:rsidRPr="00F7252D" w:rsidRDefault="00B94C92" w:rsidP="009E13DB">
      <w:pPr>
        <w:jc w:val="both"/>
        <w:rPr>
          <w:szCs w:val="20"/>
        </w:rPr>
      </w:pPr>
      <w:r>
        <w:rPr>
          <w:szCs w:val="20"/>
        </w:rPr>
        <w:t>V</w:t>
      </w:r>
      <w:r w:rsidR="009E13DB">
        <w:rPr>
          <w:szCs w:val="20"/>
        </w:rPr>
        <w:t>ýbor pro jadernou energetiku schvaluje roční zprávu o plnění akčního plánu obsahující</w:t>
      </w:r>
    </w:p>
    <w:p w:rsidR="009E13DB" w:rsidRPr="00301378" w:rsidRDefault="009E13DB" w:rsidP="0044189F">
      <w:pPr>
        <w:pStyle w:val="Odstavecseseznamem"/>
        <w:numPr>
          <w:ilvl w:val="2"/>
          <w:numId w:val="34"/>
        </w:numPr>
        <w:ind w:left="709"/>
        <w:jc w:val="both"/>
        <w:rPr>
          <w:szCs w:val="20"/>
        </w:rPr>
      </w:pPr>
      <w:r w:rsidRPr="00301378">
        <w:rPr>
          <w:szCs w:val="20"/>
        </w:rPr>
        <w:t>Stav jaderné energetiky a průmyslu</w:t>
      </w:r>
      <w:r>
        <w:rPr>
          <w:szCs w:val="20"/>
        </w:rPr>
        <w:t xml:space="preserve"> a jeho změna</w:t>
      </w:r>
      <w:r w:rsidR="00B94C92">
        <w:rPr>
          <w:szCs w:val="20"/>
        </w:rPr>
        <w:t>.</w:t>
      </w:r>
    </w:p>
    <w:p w:rsidR="009E13DB" w:rsidRPr="00301378" w:rsidRDefault="009E13DB" w:rsidP="0044189F">
      <w:pPr>
        <w:pStyle w:val="Odstavecseseznamem"/>
        <w:numPr>
          <w:ilvl w:val="2"/>
          <w:numId w:val="34"/>
        </w:numPr>
        <w:ind w:left="709"/>
        <w:jc w:val="both"/>
        <w:rPr>
          <w:szCs w:val="20"/>
        </w:rPr>
      </w:pPr>
      <w:r w:rsidRPr="00301378">
        <w:rPr>
          <w:szCs w:val="20"/>
        </w:rPr>
        <w:t>Legislativní rámec</w:t>
      </w:r>
      <w:r>
        <w:rPr>
          <w:szCs w:val="20"/>
        </w:rPr>
        <w:t xml:space="preserve"> a plnění legislativních úkolů</w:t>
      </w:r>
      <w:r w:rsidR="00B94C92">
        <w:rPr>
          <w:szCs w:val="20"/>
        </w:rPr>
        <w:t>.</w:t>
      </w:r>
    </w:p>
    <w:p w:rsidR="009E13DB" w:rsidRPr="00301378" w:rsidRDefault="009E13DB" w:rsidP="0044189F">
      <w:pPr>
        <w:pStyle w:val="Odstavecseseznamem"/>
        <w:numPr>
          <w:ilvl w:val="2"/>
          <w:numId w:val="34"/>
        </w:numPr>
        <w:ind w:left="709"/>
        <w:jc w:val="both"/>
        <w:rPr>
          <w:szCs w:val="20"/>
        </w:rPr>
      </w:pPr>
      <w:r w:rsidRPr="00301378">
        <w:rPr>
          <w:szCs w:val="20"/>
        </w:rPr>
        <w:t>Naplňování akčního plánu rozvoje jaderné energetiky v</w:t>
      </w:r>
      <w:r w:rsidR="00B94C92">
        <w:rPr>
          <w:szCs w:val="20"/>
        </w:rPr>
        <w:t> </w:t>
      </w:r>
      <w:r w:rsidRPr="00301378">
        <w:rPr>
          <w:szCs w:val="20"/>
        </w:rPr>
        <w:t>ČR</w:t>
      </w:r>
      <w:r w:rsidR="00B94C92">
        <w:rPr>
          <w:szCs w:val="20"/>
        </w:rPr>
        <w:t>.</w:t>
      </w:r>
    </w:p>
    <w:p w:rsidR="009E13DB" w:rsidRPr="00301378" w:rsidRDefault="009E13DB" w:rsidP="0044189F">
      <w:pPr>
        <w:pStyle w:val="Odstavecseseznamem"/>
        <w:numPr>
          <w:ilvl w:val="2"/>
          <w:numId w:val="34"/>
        </w:numPr>
        <w:ind w:left="709"/>
        <w:jc w:val="both"/>
        <w:rPr>
          <w:szCs w:val="20"/>
        </w:rPr>
      </w:pPr>
      <w:r w:rsidRPr="00301378">
        <w:rPr>
          <w:szCs w:val="20"/>
        </w:rPr>
        <w:t>Mezinárodní spolupráce</w:t>
      </w:r>
      <w:r w:rsidR="00EE5303">
        <w:rPr>
          <w:szCs w:val="20"/>
        </w:rPr>
        <w:t>:</w:t>
      </w:r>
    </w:p>
    <w:p w:rsidR="009E13DB" w:rsidRPr="00301378" w:rsidRDefault="009E13DB" w:rsidP="009E13DB">
      <w:pPr>
        <w:pStyle w:val="Odstavecseseznamem"/>
        <w:numPr>
          <w:ilvl w:val="3"/>
          <w:numId w:val="1"/>
        </w:numPr>
        <w:ind w:left="993"/>
        <w:jc w:val="both"/>
        <w:rPr>
          <w:szCs w:val="20"/>
        </w:rPr>
      </w:pPr>
      <w:r w:rsidRPr="00301378">
        <w:rPr>
          <w:szCs w:val="20"/>
        </w:rPr>
        <w:t>Bilaterální a multilaterální smlouvy a účast v mezinárodních organizacích</w:t>
      </w:r>
      <w:r w:rsidR="00B94C92">
        <w:rPr>
          <w:szCs w:val="20"/>
        </w:rPr>
        <w:t>.</w:t>
      </w:r>
    </w:p>
    <w:p w:rsidR="009E13DB" w:rsidRPr="00301378" w:rsidRDefault="009E13DB" w:rsidP="009E13DB">
      <w:pPr>
        <w:pStyle w:val="Odstavecseseznamem"/>
        <w:numPr>
          <w:ilvl w:val="3"/>
          <w:numId w:val="1"/>
        </w:numPr>
        <w:ind w:left="993"/>
        <w:jc w:val="both"/>
        <w:rPr>
          <w:szCs w:val="20"/>
        </w:rPr>
      </w:pPr>
      <w:r w:rsidRPr="00301378">
        <w:rPr>
          <w:szCs w:val="20"/>
        </w:rPr>
        <w:t>Mezinárodní spolupráce ve výzkumu</w:t>
      </w:r>
      <w:r w:rsidR="00B94C92">
        <w:rPr>
          <w:szCs w:val="20"/>
        </w:rPr>
        <w:t>.</w:t>
      </w:r>
    </w:p>
    <w:p w:rsidR="009E13DB" w:rsidRPr="00301378" w:rsidRDefault="009E13DB" w:rsidP="009E13DB">
      <w:pPr>
        <w:pStyle w:val="Odstavecseseznamem"/>
        <w:numPr>
          <w:ilvl w:val="3"/>
          <w:numId w:val="1"/>
        </w:numPr>
        <w:ind w:left="993"/>
        <w:jc w:val="both"/>
        <w:rPr>
          <w:szCs w:val="20"/>
        </w:rPr>
      </w:pPr>
      <w:r w:rsidRPr="00301378">
        <w:rPr>
          <w:szCs w:val="20"/>
        </w:rPr>
        <w:t>Mezinárodní spolupráce v rámci dodavatelského řetězce</w:t>
      </w:r>
      <w:r w:rsidR="00B94C92">
        <w:rPr>
          <w:szCs w:val="20"/>
        </w:rPr>
        <w:t>.</w:t>
      </w:r>
    </w:p>
    <w:p w:rsidR="009E13DB" w:rsidRDefault="009E13DB" w:rsidP="009E13DB">
      <w:pPr>
        <w:pStyle w:val="Odstavecseseznamem"/>
        <w:numPr>
          <w:ilvl w:val="3"/>
          <w:numId w:val="1"/>
        </w:numPr>
        <w:ind w:left="993" w:hanging="357"/>
        <w:contextualSpacing w:val="0"/>
        <w:jc w:val="both"/>
        <w:rPr>
          <w:szCs w:val="20"/>
        </w:rPr>
      </w:pPr>
      <w:r w:rsidRPr="00301378">
        <w:rPr>
          <w:szCs w:val="20"/>
        </w:rPr>
        <w:t>Mezinárodní spolupráce ve vzdělávání a tréninku</w:t>
      </w:r>
      <w:r w:rsidR="00B94C92">
        <w:rPr>
          <w:szCs w:val="20"/>
        </w:rPr>
        <w:t>.</w:t>
      </w:r>
    </w:p>
    <w:p w:rsidR="009E13DB" w:rsidRDefault="009E13DB" w:rsidP="009E13DB">
      <w:pPr>
        <w:jc w:val="both"/>
        <w:rPr>
          <w:szCs w:val="20"/>
        </w:rPr>
      </w:pPr>
      <w:r w:rsidRPr="00A3545E">
        <w:rPr>
          <w:b/>
          <w:szCs w:val="20"/>
        </w:rPr>
        <w:t>Vládní zmocněnec pro jadernou energetiku</w:t>
      </w:r>
      <w:r>
        <w:rPr>
          <w:szCs w:val="20"/>
        </w:rPr>
        <w:t xml:space="preserve"> je jmenován vládou na období 4 let a je tajemníkem výboru pro jadernou energetiku (Výbor). Jeho úkolem je:</w:t>
      </w:r>
    </w:p>
    <w:p w:rsidR="009E13DB" w:rsidRDefault="009E13DB" w:rsidP="0044189F">
      <w:pPr>
        <w:pStyle w:val="Odstavecseseznamem"/>
        <w:numPr>
          <w:ilvl w:val="0"/>
          <w:numId w:val="35"/>
        </w:numPr>
        <w:ind w:left="709"/>
        <w:jc w:val="both"/>
        <w:rPr>
          <w:szCs w:val="20"/>
        </w:rPr>
      </w:pPr>
      <w:r>
        <w:rPr>
          <w:szCs w:val="20"/>
        </w:rPr>
        <w:t>Ř</w:t>
      </w:r>
      <w:r w:rsidRPr="00F7252D">
        <w:rPr>
          <w:szCs w:val="20"/>
        </w:rPr>
        <w:t xml:space="preserve">ídit aparát </w:t>
      </w:r>
      <w:r w:rsidR="00B94C92">
        <w:rPr>
          <w:szCs w:val="20"/>
        </w:rPr>
        <w:t>v</w:t>
      </w:r>
      <w:r w:rsidRPr="00F7252D">
        <w:rPr>
          <w:szCs w:val="20"/>
        </w:rPr>
        <w:t xml:space="preserve">ýboru a </w:t>
      </w:r>
      <w:r>
        <w:rPr>
          <w:szCs w:val="20"/>
        </w:rPr>
        <w:t xml:space="preserve">zajišťovat </w:t>
      </w:r>
      <w:r w:rsidRPr="00F7252D">
        <w:rPr>
          <w:szCs w:val="20"/>
        </w:rPr>
        <w:t>přípravu materiál</w:t>
      </w:r>
      <w:r>
        <w:rPr>
          <w:szCs w:val="20"/>
        </w:rPr>
        <w:t>ů</w:t>
      </w:r>
      <w:r w:rsidRPr="00F7252D">
        <w:rPr>
          <w:szCs w:val="20"/>
        </w:rPr>
        <w:t xml:space="preserve"> pro jednání </w:t>
      </w:r>
      <w:r>
        <w:rPr>
          <w:szCs w:val="20"/>
        </w:rPr>
        <w:t>V</w:t>
      </w:r>
      <w:r w:rsidRPr="00F7252D">
        <w:rPr>
          <w:szCs w:val="20"/>
        </w:rPr>
        <w:t>ýboru</w:t>
      </w:r>
      <w:r w:rsidR="00EE5303">
        <w:rPr>
          <w:szCs w:val="20"/>
        </w:rPr>
        <w:t>.</w:t>
      </w:r>
    </w:p>
    <w:p w:rsidR="009E13DB" w:rsidRDefault="009E13DB" w:rsidP="0044189F">
      <w:pPr>
        <w:pStyle w:val="Odstavecseseznamem"/>
        <w:numPr>
          <w:ilvl w:val="0"/>
          <w:numId w:val="35"/>
        </w:numPr>
        <w:ind w:left="709"/>
        <w:jc w:val="both"/>
        <w:rPr>
          <w:szCs w:val="20"/>
        </w:rPr>
      </w:pPr>
      <w:r>
        <w:rPr>
          <w:szCs w:val="20"/>
        </w:rPr>
        <w:t>Jednat jménem Výboru a jménem ČR s mezinárodními partnery v oblasti rozvoje jaderné energetiky, včetně strategických partnerů a zájemců o spolupráci</w:t>
      </w:r>
      <w:r w:rsidR="00EE5303">
        <w:rPr>
          <w:szCs w:val="20"/>
        </w:rPr>
        <w:t>.</w:t>
      </w:r>
    </w:p>
    <w:p w:rsidR="009E13DB" w:rsidRDefault="009E13DB" w:rsidP="0044189F">
      <w:pPr>
        <w:pStyle w:val="Odstavecseseznamem"/>
        <w:numPr>
          <w:ilvl w:val="0"/>
          <w:numId w:val="35"/>
        </w:numPr>
        <w:ind w:left="709"/>
        <w:jc w:val="both"/>
        <w:rPr>
          <w:szCs w:val="20"/>
        </w:rPr>
      </w:pPr>
      <w:r>
        <w:rPr>
          <w:szCs w:val="20"/>
        </w:rPr>
        <w:lastRenderedPageBreak/>
        <w:t>Zajistit koordinaci přípravy a úpravy legislativy s dopadem do výstavby a provozu jaderných elektráren s cílem zjednodušit povolovací a licenční proces a minimalizovat s ním spojená rizika dopadů do termínů a nákladů</w:t>
      </w:r>
      <w:r w:rsidR="00EE5303">
        <w:rPr>
          <w:szCs w:val="20"/>
        </w:rPr>
        <w:t>.</w:t>
      </w:r>
    </w:p>
    <w:p w:rsidR="009E13DB" w:rsidRDefault="008A264F" w:rsidP="0044189F">
      <w:pPr>
        <w:pStyle w:val="Odstavecseseznamem"/>
        <w:numPr>
          <w:ilvl w:val="0"/>
          <w:numId w:val="35"/>
        </w:numPr>
        <w:ind w:left="709"/>
        <w:jc w:val="both"/>
        <w:rPr>
          <w:szCs w:val="20"/>
        </w:rPr>
      </w:pPr>
      <w:r>
        <w:rPr>
          <w:szCs w:val="20"/>
        </w:rPr>
        <w:t xml:space="preserve">Koordinovat orgány </w:t>
      </w:r>
      <w:r w:rsidR="009E13DB">
        <w:rPr>
          <w:szCs w:val="20"/>
        </w:rPr>
        <w:t>státní správy a samosprávy během přípravy a výstavby jaderných elektráren</w:t>
      </w:r>
      <w:r w:rsidR="00EE5303">
        <w:rPr>
          <w:szCs w:val="20"/>
        </w:rPr>
        <w:t>.</w:t>
      </w:r>
    </w:p>
    <w:p w:rsidR="009E13DB" w:rsidRPr="00F7252D" w:rsidRDefault="009E13DB" w:rsidP="0044189F">
      <w:pPr>
        <w:pStyle w:val="Odstavecseseznamem"/>
        <w:numPr>
          <w:ilvl w:val="0"/>
          <w:numId w:val="35"/>
        </w:numPr>
        <w:ind w:left="709"/>
        <w:jc w:val="both"/>
        <w:rPr>
          <w:szCs w:val="20"/>
        </w:rPr>
      </w:pPr>
      <w:r>
        <w:rPr>
          <w:szCs w:val="20"/>
        </w:rPr>
        <w:t xml:space="preserve">Sledovat plnění </w:t>
      </w:r>
      <w:r w:rsidR="008A264F">
        <w:rPr>
          <w:szCs w:val="20"/>
        </w:rPr>
        <w:t xml:space="preserve">Národního akčního </w:t>
      </w:r>
      <w:r>
        <w:rPr>
          <w:szCs w:val="20"/>
        </w:rPr>
        <w:t>plánu rozvoje jaderné energetiky a předk</w:t>
      </w:r>
      <w:r w:rsidR="00EE5303">
        <w:rPr>
          <w:szCs w:val="20"/>
        </w:rPr>
        <w:t>ládat Výboru návrhy na opatření.</w:t>
      </w:r>
    </w:p>
    <w:p w:rsidR="009E13DB" w:rsidRPr="00A44C22" w:rsidRDefault="009E13DB" w:rsidP="009E13DB">
      <w:pPr>
        <w:pStyle w:val="Nadpis2"/>
      </w:pPr>
      <w:bookmarkStart w:id="202" w:name="_Toc407035610"/>
      <w:bookmarkStart w:id="203" w:name="_Toc420056021"/>
      <w:r w:rsidRPr="00A44C22">
        <w:t>Organizace dodavatelského řetězce</w:t>
      </w:r>
      <w:bookmarkEnd w:id="202"/>
      <w:bookmarkEnd w:id="203"/>
    </w:p>
    <w:p w:rsidR="009E13DB" w:rsidRDefault="009E13DB" w:rsidP="009E13DB">
      <w:pPr>
        <w:jc w:val="both"/>
        <w:rPr>
          <w:szCs w:val="20"/>
        </w:rPr>
      </w:pPr>
      <w:r>
        <w:rPr>
          <w:szCs w:val="20"/>
        </w:rPr>
        <w:t>Přestože jde o soukromé společnosti vlastněné různými vlastníky, jejich společným zájmem je podnikání v sektoru silně ovlivňovaném st</w:t>
      </w:r>
      <w:r w:rsidR="00EE5303">
        <w:rPr>
          <w:szCs w:val="20"/>
        </w:rPr>
        <w:t xml:space="preserve">átem. Znalosti a jejich udržení či </w:t>
      </w:r>
      <w:r>
        <w:rPr>
          <w:szCs w:val="20"/>
        </w:rPr>
        <w:t>rozvoj a zapojení národních dodavatelů jsou důležité</w:t>
      </w:r>
      <w:r w:rsidR="00EE5303">
        <w:rPr>
          <w:szCs w:val="20"/>
        </w:rPr>
        <w:t xml:space="preserve"> pro rozvoj sektoru jako celku.</w:t>
      </w:r>
    </w:p>
    <w:p w:rsidR="009E13DB" w:rsidRPr="002918F0" w:rsidRDefault="009E13DB" w:rsidP="009E13DB">
      <w:pPr>
        <w:jc w:val="both"/>
        <w:rPr>
          <w:szCs w:val="20"/>
        </w:rPr>
      </w:pPr>
      <w:r>
        <w:rPr>
          <w:szCs w:val="20"/>
        </w:rPr>
        <w:t xml:space="preserve">Doporučuje se </w:t>
      </w:r>
      <w:r w:rsidRPr="002918F0">
        <w:rPr>
          <w:szCs w:val="20"/>
        </w:rPr>
        <w:t>iniciovat ustavení organizace, která by sdružovala průmyslové podniky participující na dodávkách pro jadernou energetiku, byl</w:t>
      </w:r>
      <w:r w:rsidR="00EE5303">
        <w:rPr>
          <w:szCs w:val="20"/>
        </w:rPr>
        <w:t>a by</w:t>
      </w:r>
      <w:r w:rsidRPr="002918F0">
        <w:rPr>
          <w:szCs w:val="20"/>
        </w:rPr>
        <w:t xml:space="preserve"> partnerem </w:t>
      </w:r>
      <w:r w:rsidR="00B94C92">
        <w:rPr>
          <w:szCs w:val="20"/>
        </w:rPr>
        <w:t>v</w:t>
      </w:r>
      <w:r w:rsidRPr="002918F0">
        <w:rPr>
          <w:szCs w:val="20"/>
        </w:rPr>
        <w:t>ýboru (s představitelem organizace jako členem) a mohl</w:t>
      </w:r>
      <w:r w:rsidR="00EE5303">
        <w:rPr>
          <w:szCs w:val="20"/>
        </w:rPr>
        <w:t>a by</w:t>
      </w:r>
      <w:r w:rsidRPr="002918F0">
        <w:rPr>
          <w:szCs w:val="20"/>
        </w:rPr>
        <w:t xml:space="preserve"> zajišťovat přenos informací mezi</w:t>
      </w:r>
      <w:r w:rsidR="00EE5303">
        <w:rPr>
          <w:szCs w:val="20"/>
        </w:rPr>
        <w:t xml:space="preserve"> vládou a průmyslem, participovat</w:t>
      </w:r>
      <w:r w:rsidRPr="002918F0">
        <w:rPr>
          <w:szCs w:val="20"/>
        </w:rPr>
        <w:t xml:space="preserve"> na vyhodnocování </w:t>
      </w:r>
      <w:r w:rsidR="00891D29" w:rsidRPr="002918F0">
        <w:rPr>
          <w:szCs w:val="20"/>
        </w:rPr>
        <w:t xml:space="preserve">NAP JE </w:t>
      </w:r>
      <w:r w:rsidRPr="002918F0">
        <w:rPr>
          <w:szCs w:val="20"/>
        </w:rPr>
        <w:t>a n</w:t>
      </w:r>
      <w:r w:rsidR="00EE5303">
        <w:rPr>
          <w:szCs w:val="20"/>
        </w:rPr>
        <w:t>a</w:t>
      </w:r>
      <w:r w:rsidRPr="002918F0">
        <w:rPr>
          <w:szCs w:val="20"/>
        </w:rPr>
        <w:t>vrh</w:t>
      </w:r>
      <w:r w:rsidR="00EE5303">
        <w:rPr>
          <w:szCs w:val="20"/>
        </w:rPr>
        <w:t>ovat</w:t>
      </w:r>
      <w:r w:rsidRPr="002918F0">
        <w:rPr>
          <w:szCs w:val="20"/>
        </w:rPr>
        <w:t xml:space="preserve"> opatření pro Výbor</w:t>
      </w:r>
      <w:r w:rsidR="002918F0">
        <w:rPr>
          <w:szCs w:val="20"/>
        </w:rPr>
        <w:t xml:space="preserve"> </w:t>
      </w:r>
      <w:r w:rsidRPr="002918F0">
        <w:rPr>
          <w:szCs w:val="20"/>
        </w:rPr>
        <w:t>a koordinaci činnosti svých členů.</w:t>
      </w:r>
    </w:p>
    <w:p w:rsidR="009E13DB" w:rsidRPr="002918F0" w:rsidRDefault="009E13DB" w:rsidP="009E13DB">
      <w:pPr>
        <w:pStyle w:val="Nadpis2"/>
      </w:pPr>
      <w:bookmarkStart w:id="204" w:name="_Toc407035611"/>
      <w:bookmarkStart w:id="205" w:name="_Toc420056022"/>
      <w:r w:rsidRPr="002918F0">
        <w:t>Nezávislý dozor</w:t>
      </w:r>
      <w:bookmarkEnd w:id="204"/>
      <w:bookmarkEnd w:id="205"/>
    </w:p>
    <w:p w:rsidR="009E13DB" w:rsidRDefault="009E13DB" w:rsidP="009E13DB">
      <w:pPr>
        <w:jc w:val="both"/>
        <w:rPr>
          <w:szCs w:val="20"/>
        </w:rPr>
      </w:pPr>
      <w:r>
        <w:rPr>
          <w:szCs w:val="20"/>
        </w:rPr>
        <w:t xml:space="preserve">Odpovědnost státu za jadernou bezpečnost zajišťuje nezávislý regulátor – </w:t>
      </w:r>
      <w:r w:rsidRPr="003628DA">
        <w:rPr>
          <w:b/>
          <w:szCs w:val="20"/>
        </w:rPr>
        <w:t>Státní úřad pro jadernou bezpečnost</w:t>
      </w:r>
      <w:r>
        <w:rPr>
          <w:szCs w:val="20"/>
        </w:rPr>
        <w:t>. Jeho naprostá nezávislost a udržení klíčových kompetencí na národní úrovni spolu s jeho zapojením do mezinárodních struktur je zcela zásadní. Důležité je zajistit dostatek finančních a</w:t>
      </w:r>
      <w:r w:rsidR="001B3793">
        <w:rPr>
          <w:szCs w:val="20"/>
        </w:rPr>
        <w:t> </w:t>
      </w:r>
      <w:r>
        <w:rPr>
          <w:szCs w:val="20"/>
        </w:rPr>
        <w:t>personálních zdrojů pro plnění všech funkcí jaderného dozoru včetně mezinárodní spolupráce</w:t>
      </w:r>
      <w:r w:rsidR="00FF39EE">
        <w:rPr>
          <w:szCs w:val="20"/>
        </w:rPr>
        <w:t>.</w:t>
      </w:r>
    </w:p>
    <w:p w:rsidR="009E13DB" w:rsidRPr="00AA1D84" w:rsidRDefault="009E13DB" w:rsidP="009E13DB">
      <w:pPr>
        <w:pStyle w:val="Nadpis2"/>
      </w:pPr>
      <w:bookmarkStart w:id="206" w:name="_Toc407035612"/>
      <w:bookmarkStart w:id="207" w:name="_Toc420056023"/>
      <w:r>
        <w:t>Nakládání s RAO</w:t>
      </w:r>
      <w:bookmarkEnd w:id="206"/>
      <w:bookmarkEnd w:id="207"/>
    </w:p>
    <w:p w:rsidR="009E13DB" w:rsidRDefault="009E13DB" w:rsidP="009E13DB">
      <w:pPr>
        <w:jc w:val="both"/>
        <w:rPr>
          <w:szCs w:val="20"/>
        </w:rPr>
      </w:pPr>
      <w:r w:rsidRPr="006A054D">
        <w:rPr>
          <w:szCs w:val="20"/>
        </w:rPr>
        <w:t xml:space="preserve">Odpovědnost státu za bezpečné ukládání radioaktivního odpadu zajišťuje </w:t>
      </w:r>
      <w:r w:rsidRPr="006A054D">
        <w:rPr>
          <w:b/>
          <w:szCs w:val="20"/>
        </w:rPr>
        <w:t>Správa úložišť radioaktivního odpadu</w:t>
      </w:r>
      <w:r w:rsidRPr="006A054D">
        <w:rPr>
          <w:szCs w:val="20"/>
        </w:rPr>
        <w:t>, která je orgánem státní správy podléhajícím Ministerstvu průmyslu a</w:t>
      </w:r>
      <w:r w:rsidR="001B3793">
        <w:rPr>
          <w:szCs w:val="20"/>
        </w:rPr>
        <w:t> </w:t>
      </w:r>
      <w:r w:rsidRPr="006A054D">
        <w:rPr>
          <w:szCs w:val="20"/>
        </w:rPr>
        <w:t>obchodu.</w:t>
      </w:r>
      <w:r>
        <w:rPr>
          <w:szCs w:val="20"/>
        </w:rPr>
        <w:t xml:space="preserve"> S ohledem na provozní charakter řady činností SÚRAO je vhodné do budoucna transformovat SÚRAO na formu státního podniku s udržením silné a přímé role státu.</w:t>
      </w:r>
    </w:p>
    <w:p w:rsidR="009E13DB" w:rsidRPr="00AA1D84" w:rsidRDefault="009E13DB" w:rsidP="009E13DB">
      <w:pPr>
        <w:pStyle w:val="Nadpis2"/>
      </w:pPr>
      <w:bookmarkStart w:id="208" w:name="_Toc407035613"/>
      <w:bookmarkStart w:id="209" w:name="_Toc420056024"/>
      <w:r>
        <w:t>Koordinace výzkumu</w:t>
      </w:r>
      <w:bookmarkEnd w:id="208"/>
      <w:bookmarkEnd w:id="209"/>
    </w:p>
    <w:p w:rsidR="00372826" w:rsidRDefault="00187CF5" w:rsidP="00187CF5">
      <w:pPr>
        <w:jc w:val="both"/>
        <w:rPr>
          <w:szCs w:val="20"/>
        </w:rPr>
      </w:pPr>
      <w:r w:rsidRPr="00187CF5">
        <w:rPr>
          <w:szCs w:val="20"/>
        </w:rPr>
        <w:t>Je strategickým zájmem státu cíleně rozvíjet výzkumně-vývojovou základnu v oblasti jaderné energetiky. Současně by se stát měl více angažovat v podpoře rozvoje výzkumu jaderné energetiky</w:t>
      </w:r>
      <w:r w:rsidR="00EE6762">
        <w:rPr>
          <w:szCs w:val="20"/>
        </w:rPr>
        <w:t>,</w:t>
      </w:r>
      <w:r w:rsidRPr="00187CF5">
        <w:rPr>
          <w:szCs w:val="20"/>
        </w:rPr>
        <w:t xml:space="preserve"> především v rámci vymezování výzkumných priorit v oblasti jaderné energetiky. Je potřeba prozkoumat možnosti nástrojů, které lze využít z pohledu státu pro </w:t>
      </w:r>
      <w:proofErr w:type="spellStart"/>
      <w:r w:rsidRPr="00187CF5">
        <w:rPr>
          <w:szCs w:val="20"/>
        </w:rPr>
        <w:t>prioritizaci</w:t>
      </w:r>
      <w:proofErr w:type="spellEnd"/>
      <w:r w:rsidRPr="00187CF5">
        <w:rPr>
          <w:szCs w:val="20"/>
        </w:rPr>
        <w:t xml:space="preserve"> jaderného výzkumu, ať již ve formě majetkové participace na výzkumných ústavech, nebo v minimální nutné míře v rámci samostatné kapitoly (obálky) pro jadernou energetiku v rámci TA</w:t>
      </w:r>
      <w:r w:rsidR="002262F2">
        <w:rPr>
          <w:szCs w:val="20"/>
        </w:rPr>
        <w:t xml:space="preserve"> </w:t>
      </w:r>
      <w:r w:rsidRPr="00187CF5">
        <w:rPr>
          <w:szCs w:val="20"/>
        </w:rPr>
        <w:t>ČR. Ze strategického hlediska je důležité rovněž podporovat zapojení do mezinárodních projektů i do spolupráce se strategickými partnery při výstavbě nových jaderných zdrojů v ČR.</w:t>
      </w:r>
      <w:r w:rsidR="00372826">
        <w:rPr>
          <w:szCs w:val="20"/>
        </w:rPr>
        <w:br w:type="page"/>
      </w:r>
    </w:p>
    <w:p w:rsidR="009E13DB" w:rsidRPr="00AD0B48" w:rsidRDefault="009E13DB" w:rsidP="009E13DB">
      <w:pPr>
        <w:pStyle w:val="Nadpis1"/>
      </w:pPr>
      <w:bookmarkStart w:id="210" w:name="_Toc407035614"/>
      <w:bookmarkStart w:id="211" w:name="_Toc420056025"/>
      <w:r w:rsidRPr="00AD0B48">
        <w:lastRenderedPageBreak/>
        <w:t>Výstavba nových jaderných zdrojů</w:t>
      </w:r>
      <w:bookmarkEnd w:id="210"/>
      <w:bookmarkEnd w:id="211"/>
    </w:p>
    <w:p w:rsidR="009E13DB" w:rsidRDefault="009E13DB" w:rsidP="009E13DB">
      <w:pPr>
        <w:jc w:val="both"/>
      </w:pPr>
      <w:r w:rsidRPr="00AD0B48">
        <w:t>Jak bylo uvedeno v předchozích kapitolách, je okamžité pokračování přípravy NJZ a jejich následná</w:t>
      </w:r>
      <w:r>
        <w:t xml:space="preserve"> výstavba klíčovou podmínkou pro:</w:t>
      </w:r>
    </w:p>
    <w:p w:rsidR="009E13DB" w:rsidRDefault="009E13DB" w:rsidP="0044189F">
      <w:pPr>
        <w:pStyle w:val="Odstavecseseznamem"/>
        <w:numPr>
          <w:ilvl w:val="0"/>
          <w:numId w:val="79"/>
        </w:numPr>
        <w:jc w:val="both"/>
      </w:pPr>
      <w:r>
        <w:t>Dosažení cílů SEK v oblasti zajištění energetické bezpečnosti ČR</w:t>
      </w:r>
    </w:p>
    <w:p w:rsidR="008A264F" w:rsidRDefault="008A264F" w:rsidP="0044189F">
      <w:pPr>
        <w:pStyle w:val="Odstavecseseznamem"/>
        <w:numPr>
          <w:ilvl w:val="0"/>
          <w:numId w:val="79"/>
        </w:numPr>
        <w:jc w:val="both"/>
      </w:pPr>
      <w:r>
        <w:t>Naplnění mezinárodních dekarbonizačních závazků ČR</w:t>
      </w:r>
    </w:p>
    <w:p w:rsidR="009E13DB" w:rsidRDefault="009E13DB" w:rsidP="0044189F">
      <w:pPr>
        <w:pStyle w:val="Odstavecseseznamem"/>
        <w:numPr>
          <w:ilvl w:val="0"/>
          <w:numId w:val="79"/>
        </w:numPr>
        <w:jc w:val="both"/>
      </w:pPr>
      <w:r>
        <w:t>Zajištění dlouhodobého udržitelného rozvoje jaderné energetiky v</w:t>
      </w:r>
      <w:r w:rsidR="00FD2D1D">
        <w:t> </w:t>
      </w:r>
      <w:r>
        <w:t>ČR</w:t>
      </w:r>
      <w:r w:rsidR="00FD2D1D">
        <w:t xml:space="preserve"> </w:t>
      </w:r>
    </w:p>
    <w:p w:rsidR="009E13DB" w:rsidRDefault="009E13DB" w:rsidP="009E13DB">
      <w:pPr>
        <w:jc w:val="both"/>
      </w:pPr>
      <w:r w:rsidRPr="006A054D">
        <w:t>Vzhledem ke stávající míře tržních deformací, častých legislativně-regulatorních změn a kapitálové a investiční náročnosti rozvoje</w:t>
      </w:r>
      <w:r>
        <w:t xml:space="preserve"> jaderných zdrojů je klíčové, aby stát jasně deklaroval zájem na dalším rozvoji jaderné energetiky </w:t>
      </w:r>
      <w:r w:rsidR="00292529">
        <w:t xml:space="preserve">(dle požadavků vymezených ve schválené SEK) </w:t>
      </w:r>
      <w:r>
        <w:t>a byl připraven se v něm přiměřeně angažovat</w:t>
      </w:r>
      <w:r w:rsidR="0007006B">
        <w:t xml:space="preserve"> </w:t>
      </w:r>
      <w:r w:rsidR="00A23D7D">
        <w:t>včetně poskytnutí případných záruk.</w:t>
      </w:r>
      <w:r>
        <w:t xml:space="preserve"> Role státu je uznána jak v rozhodnutí Evropské komise (v případě jaderné elektrárny </w:t>
      </w:r>
      <w:proofErr w:type="spellStart"/>
      <w:r>
        <w:t>Hinkley</w:t>
      </w:r>
      <w:proofErr w:type="spellEnd"/>
      <w:r>
        <w:t xml:space="preserve"> Point C), tak v publikacích Mezinárodní energetické agentury (např. Technologická cestovní mapa pro jadernou energetiku z roku 2014 nebo Světový výhled investic do energetiky ze stejného roku). Mezinárodní energetická agentura klade na vlády států požadavek definování jasných politik a nastavení stabilní dlouhodobé strategie jaderného rozvoje, včetně odpovědnosti za</w:t>
      </w:r>
      <w:r w:rsidDel="000F2626">
        <w:t xml:space="preserve"> </w:t>
      </w:r>
      <w:r>
        <w:t xml:space="preserve">financování jaderného rozvoje. Vlády podle ní mají zajistit transparentnost cen a stabilizovat politiky, které jsou klíčové pro kapitálově náročné investice do zdrojů základního zatížení. </w:t>
      </w:r>
    </w:p>
    <w:p w:rsidR="009E13DB" w:rsidRPr="00FE5FCD" w:rsidRDefault="009E13DB" w:rsidP="009E13DB">
      <w:pPr>
        <w:pStyle w:val="Nadpis2"/>
      </w:pPr>
      <w:bookmarkStart w:id="212" w:name="_Toc407035615"/>
      <w:bookmarkStart w:id="213" w:name="_Toc420056026"/>
      <w:r>
        <w:t>Lokality</w:t>
      </w:r>
      <w:bookmarkEnd w:id="212"/>
      <w:bookmarkEnd w:id="213"/>
    </w:p>
    <w:p w:rsidR="009E13DB" w:rsidRPr="00CA32D8" w:rsidRDefault="009E13DB" w:rsidP="009E13DB">
      <w:pPr>
        <w:jc w:val="both"/>
      </w:pPr>
      <w:r w:rsidRPr="00CA32D8">
        <w:t xml:space="preserve">S ohledem na zajištění energetické bezpečnosti ČR, ale </w:t>
      </w:r>
      <w:r w:rsidR="00D2716E">
        <w:t>i</w:t>
      </w:r>
      <w:r w:rsidRPr="00CA32D8">
        <w:t xml:space="preserve"> s ohledem na celkový sociálně-společenský přínos je z pohledu státu žádoucí neodkladně zahájit přípravu </w:t>
      </w:r>
      <w:r>
        <w:t>na</w:t>
      </w:r>
      <w:r w:rsidR="00456D3B">
        <w:t xml:space="preserve"> umístění a</w:t>
      </w:r>
      <w:r>
        <w:t xml:space="preserve"> </w:t>
      </w:r>
      <w:r w:rsidRPr="00CA32D8">
        <w:t xml:space="preserve">výstavbu jednoho jaderného reaktoru v lokalitě Temelín a jednoho reaktoru v lokalitě Dukovany a zároveň ochránit možná rizika tím, že budou zajištěna potřebná povolení pro možnost výstavby dvou reaktorů na obou lokalitách. </w:t>
      </w:r>
    </w:p>
    <w:p w:rsidR="009E13DB" w:rsidRDefault="009E13DB" w:rsidP="009E13DB">
      <w:pPr>
        <w:jc w:val="both"/>
      </w:pPr>
      <w:r w:rsidRPr="00CA32D8">
        <w:t xml:space="preserve">Doporučuje se připravovat oba projekty ve variantě výstavby dvou bloků (ve všech krocích, tj. EIA, výběr dodavatele, povolení k umístění, územní povolení, povolení k výstavbě) s tím, že bude zatím plánovaná realizace pouze 1 bloku v dané lokalitě, s možností rozšíření na dva bloky. </w:t>
      </w:r>
      <w:r>
        <w:t>Tento postup</w:t>
      </w:r>
      <w:r w:rsidRPr="00CA32D8">
        <w:t xml:space="preserve"> umožní rozhodnout o počtu bloků až těsně před zahájením výstavby a zároveň snižuje riziko</w:t>
      </w:r>
      <w:r>
        <w:t xml:space="preserve"> nedodání potřebného výkonu, pokud by jeden z projektů měl významné zpoždění, nebo nepřekonatelnou překážku pro výstavbu. </w:t>
      </w:r>
      <w:r w:rsidRPr="00CA32D8">
        <w:t xml:space="preserve">Přípravu </w:t>
      </w:r>
      <w:r>
        <w:t xml:space="preserve">obou </w:t>
      </w:r>
      <w:r w:rsidRPr="00CA32D8">
        <w:t>projekt</w:t>
      </w:r>
      <w:r>
        <w:t>ů</w:t>
      </w:r>
      <w:r w:rsidRPr="00CA32D8">
        <w:t xml:space="preserve"> je nutno zahájit neprodleně.</w:t>
      </w:r>
      <w:r w:rsidRPr="00C13725">
        <w:t xml:space="preserve"> </w:t>
      </w:r>
      <w:r w:rsidRPr="00292529">
        <w:rPr>
          <w:b/>
        </w:rPr>
        <w:t xml:space="preserve">Zejména z důvodů udržení pokračování výroby v lokalitě Dukovany je klíčová výstavba bloku v Dukovanech a jeho spuštění do roku 2037 tak, aby byla zajištěna kontinuita provozu jaderného zdroje a lidských zdrojů v lokalitě po období 2037, kdy se předpokládá odstavení stávající JE. </w:t>
      </w:r>
    </w:p>
    <w:p w:rsidR="009E13DB" w:rsidRDefault="009E13DB" w:rsidP="009E13DB">
      <w:pPr>
        <w:jc w:val="both"/>
      </w:pPr>
      <w:r w:rsidRPr="00200D04">
        <w:t xml:space="preserve">Vzhledem k tomu, že při zahrnutí </w:t>
      </w:r>
      <w:r>
        <w:t>veškerých rizik by projekty nemusely být dokon</w:t>
      </w:r>
      <w:r w:rsidRPr="00200D04">
        <w:t>čeny v  termínu</w:t>
      </w:r>
      <w:r>
        <w:t xml:space="preserve"> dle potřeb ČR identifikovaných ve Státní energetické koncepci</w:t>
      </w:r>
      <w:r w:rsidRPr="00200D04">
        <w:t xml:space="preserve">, je </w:t>
      </w:r>
      <w:r>
        <w:t xml:space="preserve">vhodné </w:t>
      </w:r>
      <w:r w:rsidRPr="00200D04">
        <w:t xml:space="preserve">omezit rizika zejména při přípravě výstavby a povolovacím a licenčním procesu vhodnou úpravou zákonných </w:t>
      </w:r>
      <w:r>
        <w:t xml:space="preserve">a prováděcích </w:t>
      </w:r>
      <w:r w:rsidRPr="00200D04">
        <w:t>opatření</w:t>
      </w:r>
      <w:r>
        <w:t xml:space="preserve"> a zajistit prostředí, které umožní realizovat stavby v potřebných termínech</w:t>
      </w:r>
      <w:r w:rsidRPr="00200D04">
        <w:t>.</w:t>
      </w:r>
    </w:p>
    <w:p w:rsidR="009E13DB" w:rsidRPr="00FE5FCD" w:rsidRDefault="009E13DB" w:rsidP="00D2716E">
      <w:pPr>
        <w:pStyle w:val="Nadpis2"/>
        <w:keepNext/>
      </w:pPr>
      <w:bookmarkStart w:id="214" w:name="_Toc407035616"/>
      <w:bookmarkStart w:id="215" w:name="_Toc420056027"/>
      <w:r>
        <w:lastRenderedPageBreak/>
        <w:t>Investiční model</w:t>
      </w:r>
      <w:bookmarkEnd w:id="214"/>
      <w:bookmarkEnd w:id="215"/>
    </w:p>
    <w:p w:rsidR="009E13DB" w:rsidRPr="00417D3A" w:rsidRDefault="009E13DB" w:rsidP="00D2716E">
      <w:pPr>
        <w:keepNext/>
        <w:rPr>
          <w:rFonts w:cs="Arial"/>
        </w:rPr>
      </w:pPr>
      <w:r w:rsidRPr="00417D3A">
        <w:rPr>
          <w:rFonts w:cs="Arial"/>
        </w:rPr>
        <w:t xml:space="preserve">Pro další postup je </w:t>
      </w:r>
      <w:r>
        <w:rPr>
          <w:rFonts w:cs="Arial"/>
        </w:rPr>
        <w:t xml:space="preserve">možné obecně </w:t>
      </w:r>
      <w:r w:rsidRPr="00417D3A">
        <w:rPr>
          <w:rFonts w:cs="Arial"/>
        </w:rPr>
        <w:t xml:space="preserve">zvažovat tři </w:t>
      </w:r>
      <w:r w:rsidR="00C33381">
        <w:rPr>
          <w:rFonts w:cs="Arial"/>
        </w:rPr>
        <w:t xml:space="preserve">varianty </w:t>
      </w:r>
      <w:r w:rsidRPr="00417D3A">
        <w:rPr>
          <w:rFonts w:cs="Arial"/>
        </w:rPr>
        <w:t>investorů</w:t>
      </w:r>
      <w:r w:rsidR="00C33381">
        <w:rPr>
          <w:rFonts w:cs="Arial"/>
        </w:rPr>
        <w:t>/investičních modelů</w:t>
      </w:r>
      <w:r w:rsidRPr="00417D3A">
        <w:rPr>
          <w:rFonts w:cs="Arial"/>
        </w:rPr>
        <w:t>:</w:t>
      </w:r>
    </w:p>
    <w:p w:rsidR="00725924" w:rsidRPr="00725924" w:rsidRDefault="009E13DB" w:rsidP="00725924">
      <w:pPr>
        <w:pStyle w:val="Odstavecseseznamem"/>
        <w:numPr>
          <w:ilvl w:val="0"/>
          <w:numId w:val="55"/>
        </w:numPr>
        <w:spacing w:before="120" w:after="240"/>
        <w:ind w:left="714" w:hanging="357"/>
        <w:contextualSpacing w:val="0"/>
        <w:jc w:val="both"/>
        <w:rPr>
          <w:rFonts w:cs="Arial"/>
          <w:b/>
        </w:rPr>
      </w:pPr>
      <w:r>
        <w:rPr>
          <w:rFonts w:cs="Arial"/>
          <w:b/>
        </w:rPr>
        <w:t>Výstavba zdroje/</w:t>
      </w:r>
      <w:r w:rsidRPr="002918F0">
        <w:rPr>
          <w:rFonts w:cs="Arial"/>
          <w:b/>
        </w:rPr>
        <w:t>zdrojů investorem ČEZ, a.s.</w:t>
      </w:r>
      <w:r w:rsidR="00AD0B48" w:rsidRPr="002918F0">
        <w:rPr>
          <w:rFonts w:cs="Arial"/>
          <w:b/>
        </w:rPr>
        <w:t>, popř. její 100 % vlastněnou dceřinou společností</w:t>
      </w:r>
      <w:r w:rsidRPr="002918F0">
        <w:rPr>
          <w:rFonts w:cs="Arial"/>
          <w:b/>
        </w:rPr>
        <w:t xml:space="preserve"> – </w:t>
      </w:r>
      <w:r w:rsidR="00C33381" w:rsidRPr="003155B7">
        <w:rPr>
          <w:b/>
        </w:rPr>
        <w:t xml:space="preserve">První a z pohledu státu jednoznačně preferovanou variantou je varianta </w:t>
      </w:r>
      <w:r w:rsidR="00C33381" w:rsidRPr="003155B7">
        <w:rPr>
          <w:b/>
          <w:u w:val="single"/>
        </w:rPr>
        <w:t>investice prostřednictvím stávajícího majitele a provozovatele jaderných elektráren společností ČEZ, a. s</w:t>
      </w:r>
      <w:r w:rsidR="00C33381" w:rsidRPr="003155B7">
        <w:rPr>
          <w:b/>
        </w:rPr>
        <w:t>.</w:t>
      </w:r>
      <w:r w:rsidR="00C33381" w:rsidRPr="003155B7">
        <w:rPr>
          <w:rFonts w:cs="Arial"/>
          <w:b/>
        </w:rPr>
        <w:t>, popř. její 100 % vlastněnou dceřinou společností.</w:t>
      </w:r>
      <w:r w:rsidR="00C33381" w:rsidRPr="002918F0">
        <w:t xml:space="preserve"> </w:t>
      </w:r>
      <w:r w:rsidR="00C33381" w:rsidRPr="000671AA">
        <w:rPr>
          <w:rStyle w:val="Siln"/>
          <w:b w:val="0"/>
        </w:rPr>
        <w:t>Nejvýznamnějším akcionářem</w:t>
      </w:r>
      <w:r w:rsidR="00C33381" w:rsidRPr="002918F0">
        <w:t xml:space="preserve"> mateřské společnosti ČEZ, a. s., je </w:t>
      </w:r>
      <w:r w:rsidR="00C33381" w:rsidRPr="000671AA">
        <w:rPr>
          <w:rStyle w:val="Siln"/>
          <w:b w:val="0"/>
        </w:rPr>
        <w:t>Česká republika</w:t>
      </w:r>
      <w:r w:rsidR="00C33381" w:rsidRPr="002918F0">
        <w:t xml:space="preserve"> s podílem na základním kapitálu (ke dni 30. 6. 2014) ve výši 69,78 %. Tato varianta vychází z předpokladu, že společnost ČEZ v návaznosti na schválenou Státní energetickou koncepci vymezující zamýšlenou strukturu výroby elektrické energie ČR, včetně cílů pro výstavbu nových jaderných zdrojů ve vymezeném časovém horizontu, vypracuje investiční záměr se zohledněním aktuálního vývoje energetiky v EU včetně jasných signálů z rámce 2030 a</w:t>
      </w:r>
      <w:r w:rsidR="00E963D2">
        <w:t> </w:t>
      </w:r>
      <w:proofErr w:type="spellStart"/>
      <w:r w:rsidR="00C33381" w:rsidRPr="002918F0">
        <w:t>Roadmap</w:t>
      </w:r>
      <w:proofErr w:type="spellEnd"/>
      <w:r w:rsidR="00C33381" w:rsidRPr="002918F0">
        <w:t xml:space="preserve"> 2050</w:t>
      </w:r>
      <w:r w:rsidR="00C33381">
        <w:t>.</w:t>
      </w:r>
      <w:r w:rsidR="00C33381" w:rsidRPr="002918F0">
        <w:t xml:space="preserve"> Společnost ČEZ, a. s., v minulosti již provedla potřebné kroky k dostavbě 3. a 4. bloku JE Temelín a má tak dostatečné zkušenosti s přípravou projektu takového rozsahu. Kromě dostatečných zkušeností lze za výhodu této varianty považovat i skutečnost, že ČEZ, a. s., je majitelem a provozovatelem jaderných bloků ve stávajících lokalitách a disponuje tak i</w:t>
      </w:r>
      <w:r w:rsidR="00E963D2">
        <w:t> </w:t>
      </w:r>
      <w:r w:rsidR="00C33381" w:rsidRPr="002918F0">
        <w:t>pozemky, potřebnou infrastrukturou či týmem zkušených pracovníků vyčleněných pro tuto potřebu.</w:t>
      </w:r>
      <w:r w:rsidRPr="002918F0">
        <w:rPr>
          <w:rFonts w:cs="Arial"/>
        </w:rPr>
        <w:t xml:space="preserve"> Podmínkou je schválení valnou hromadou společnosti v souladu se stanovami.</w:t>
      </w:r>
    </w:p>
    <w:p w:rsidR="00F923D9" w:rsidRPr="00F923D9" w:rsidRDefault="00F923D9" w:rsidP="00F923D9">
      <w:pPr>
        <w:pStyle w:val="Titulek"/>
        <w:keepNext/>
        <w:rPr>
          <w:color w:val="auto"/>
          <w:sz w:val="22"/>
        </w:rPr>
      </w:pPr>
      <w:bookmarkStart w:id="216" w:name="_Toc420058316"/>
      <w:r w:rsidRPr="00F923D9">
        <w:rPr>
          <w:color w:val="auto"/>
          <w:sz w:val="22"/>
        </w:rPr>
        <w:t xml:space="preserve">Tabulka č. </w:t>
      </w:r>
      <w:r w:rsidRPr="00F923D9">
        <w:rPr>
          <w:color w:val="auto"/>
          <w:sz w:val="22"/>
        </w:rPr>
        <w:fldChar w:fldCharType="begin"/>
      </w:r>
      <w:r w:rsidRPr="00F923D9">
        <w:rPr>
          <w:color w:val="auto"/>
          <w:sz w:val="22"/>
        </w:rPr>
        <w:instrText xml:space="preserve"> SEQ Tabulka_č. \* ARABIC </w:instrText>
      </w:r>
      <w:r w:rsidRPr="00F923D9">
        <w:rPr>
          <w:color w:val="auto"/>
          <w:sz w:val="22"/>
        </w:rPr>
        <w:fldChar w:fldCharType="separate"/>
      </w:r>
      <w:r w:rsidR="00FE1E1A">
        <w:rPr>
          <w:noProof/>
          <w:color w:val="auto"/>
          <w:sz w:val="22"/>
        </w:rPr>
        <w:t>12</w:t>
      </w:r>
      <w:r w:rsidRPr="00F923D9">
        <w:rPr>
          <w:color w:val="auto"/>
          <w:sz w:val="22"/>
        </w:rPr>
        <w:fldChar w:fldCharType="end"/>
      </w:r>
      <w:r w:rsidRPr="00F923D9">
        <w:rPr>
          <w:color w:val="auto"/>
          <w:sz w:val="22"/>
        </w:rPr>
        <w:t xml:space="preserve">: </w:t>
      </w:r>
      <w:r w:rsidRPr="00F923D9">
        <w:rPr>
          <w:b w:val="0"/>
          <w:i/>
          <w:color w:val="auto"/>
          <w:sz w:val="22"/>
        </w:rPr>
        <w:t>SWOT analýza – první varianta investičního modelu</w:t>
      </w:r>
      <w:bookmarkEnd w:id="216"/>
    </w:p>
    <w:tbl>
      <w:tblPr>
        <w:tblW w:w="5000" w:type="pct"/>
        <w:tblCellMar>
          <w:left w:w="0" w:type="dxa"/>
          <w:right w:w="0" w:type="dxa"/>
        </w:tblCellMar>
        <w:tblLook w:val="04A0" w:firstRow="1" w:lastRow="0" w:firstColumn="1" w:lastColumn="0" w:noHBand="0" w:noVBand="1"/>
      </w:tblPr>
      <w:tblGrid>
        <w:gridCol w:w="4644"/>
        <w:gridCol w:w="4644"/>
      </w:tblGrid>
      <w:tr w:rsidR="00725924"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S – silné stránky</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W – slabé stránky</w:t>
            </w:r>
          </w:p>
        </w:tc>
      </w:tr>
      <w:tr w:rsidR="00725924"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ind w:left="414" w:hanging="357"/>
              <w:rPr>
                <w:rFonts w:ascii="Calibri" w:hAnsi="Calibri"/>
              </w:rPr>
            </w:pPr>
            <w:r>
              <w:t>Nulový dopad na státní rozpočet a spotřebitele elektrické energie v rámci ceny elektřiny.</w:t>
            </w:r>
          </w:p>
          <w:p w:rsidR="00725924" w:rsidRDefault="00725924" w:rsidP="00725924">
            <w:pPr>
              <w:pStyle w:val="Odstavecseseznamem"/>
              <w:numPr>
                <w:ilvl w:val="0"/>
                <w:numId w:val="119"/>
              </w:numPr>
              <w:spacing w:after="0"/>
              <w:ind w:left="414" w:hanging="357"/>
              <w:rPr>
                <w:rFonts w:ascii="Times New Roman" w:eastAsia="Times New Roman" w:hAnsi="Times New Roman"/>
                <w:sz w:val="20"/>
                <w:szCs w:val="20"/>
                <w:lang w:eastAsia="cs-CZ"/>
              </w:rPr>
            </w:pPr>
            <w:r>
              <w:t>Navázání na již podniknuté kroky k dostavbě 3. a 4. bloku JE Temelín.</w:t>
            </w:r>
          </w:p>
          <w:p w:rsidR="00725924" w:rsidRDefault="00725924" w:rsidP="00725924">
            <w:pPr>
              <w:pStyle w:val="Odstavecseseznamem"/>
              <w:numPr>
                <w:ilvl w:val="0"/>
                <w:numId w:val="119"/>
              </w:numPr>
              <w:spacing w:after="0"/>
              <w:ind w:left="414" w:hanging="357"/>
            </w:pPr>
            <w:r>
              <w:t>Nerozmělňování kompetencí, zajištění celého projektu současným majitelem a provozovatelem JE v ČR,- dostatečné zkušenosti s přípravou projektu takového rozsahu.</w:t>
            </w:r>
          </w:p>
          <w:p w:rsidR="00725924" w:rsidRDefault="00725924" w:rsidP="00725924">
            <w:pPr>
              <w:pStyle w:val="Odstavecseseznamem"/>
              <w:numPr>
                <w:ilvl w:val="0"/>
                <w:numId w:val="119"/>
              </w:numPr>
              <w:spacing w:after="0"/>
              <w:ind w:left="414" w:hanging="357"/>
            </w:pPr>
            <w:r>
              <w:t>Disponování pozemky, potřebnou infrastrukturou a týmem zkušených odborníků vyčleněných pro tuto potřebu.</w:t>
            </w:r>
          </w:p>
          <w:p w:rsidR="00725924" w:rsidRDefault="00725924" w:rsidP="00725924">
            <w:pPr>
              <w:pStyle w:val="Odstavecseseznamem"/>
              <w:numPr>
                <w:ilvl w:val="0"/>
                <w:numId w:val="119"/>
              </w:numPr>
              <w:spacing w:after="0"/>
              <w:ind w:left="414" w:hanging="357"/>
            </w:pPr>
            <w:r>
              <w:t>Investice bude realizována kapitálově silnou společností, popř. její 100% vlastněnou dceřinou společností, což je atraktivní pro soukromé investory, kteří budou chtít do projektu vstoupit i pro financující instituce uvedeného projektu.</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ind w:left="414" w:hanging="357"/>
              <w:rPr>
                <w:rFonts w:ascii="Calibri" w:hAnsi="Calibri"/>
              </w:rPr>
            </w:pPr>
            <w:r>
              <w:t>Možné vyšší náklady cizího kapitálu v porovnání s variantou 3.</w:t>
            </w:r>
          </w:p>
          <w:p w:rsidR="00725924" w:rsidRDefault="00725924" w:rsidP="00725924">
            <w:pPr>
              <w:pStyle w:val="Odstavecseseznamem"/>
              <w:numPr>
                <w:ilvl w:val="0"/>
                <w:numId w:val="119"/>
              </w:numPr>
              <w:spacing w:after="0"/>
              <w:ind w:left="414" w:hanging="357"/>
            </w:pPr>
            <w:r>
              <w:t>Omezená možnost hájit zájmy státu - kupříkladu vyšší podíl českých dodavatelů technologie.</w:t>
            </w:r>
          </w:p>
        </w:tc>
      </w:tr>
    </w:tbl>
    <w:p w:rsidR="00F923D9" w:rsidRDefault="00F923D9" w:rsidP="00F923D9">
      <w:pPr>
        <w:spacing w:before="240" w:after="240"/>
        <w:jc w:val="both"/>
        <w:rPr>
          <w:rFonts w:cstheme="minorHAnsi"/>
          <w:b/>
        </w:rPr>
      </w:pPr>
    </w:p>
    <w:tbl>
      <w:tblPr>
        <w:tblW w:w="5000" w:type="pct"/>
        <w:tblCellMar>
          <w:left w:w="0" w:type="dxa"/>
          <w:right w:w="0" w:type="dxa"/>
        </w:tblCellMar>
        <w:tblLook w:val="04A0" w:firstRow="1" w:lastRow="0" w:firstColumn="1" w:lastColumn="0" w:noHBand="0" w:noVBand="1"/>
      </w:tblPr>
      <w:tblGrid>
        <w:gridCol w:w="4644"/>
        <w:gridCol w:w="4644"/>
      </w:tblGrid>
      <w:tr w:rsidR="00E64D47"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lastRenderedPageBreak/>
              <w:t>O – příležitosti</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t>T - hrozby</w:t>
            </w:r>
          </w:p>
        </w:tc>
      </w:tr>
      <w:tr w:rsidR="00E64D47"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pPr>
            <w:r>
              <w:t>Fungující investiční projekt odpovídající svým charakterem ostatním investicím v energetice.</w:t>
            </w:r>
          </w:p>
          <w:p w:rsidR="00E64D47" w:rsidRDefault="00E64D47" w:rsidP="004D00ED">
            <w:pPr>
              <w:pStyle w:val="Odstavecseseznamem"/>
              <w:numPr>
                <w:ilvl w:val="0"/>
                <w:numId w:val="119"/>
              </w:numPr>
              <w:spacing w:after="0"/>
              <w:ind w:left="414" w:hanging="357"/>
            </w:pPr>
            <w:r>
              <w:t>Reprodukce majetku společnosti ČEZ, a.s.</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pPr>
            <w:r>
              <w:t>Přetrvávání stávající situace na trhu/trzích s elektřinou - nedostatečná motivace k výstavbě na základě tržních signálů.</w:t>
            </w:r>
          </w:p>
        </w:tc>
      </w:tr>
    </w:tbl>
    <w:p w:rsidR="00725924" w:rsidRPr="00725924" w:rsidRDefault="009E13DB" w:rsidP="00725924">
      <w:pPr>
        <w:pStyle w:val="Odstavecseseznamem"/>
        <w:numPr>
          <w:ilvl w:val="0"/>
          <w:numId w:val="55"/>
        </w:numPr>
        <w:spacing w:before="240" w:after="240"/>
        <w:ind w:left="714" w:hanging="357"/>
        <w:contextualSpacing w:val="0"/>
        <w:jc w:val="both"/>
        <w:rPr>
          <w:rFonts w:cstheme="minorHAnsi"/>
          <w:b/>
        </w:rPr>
      </w:pPr>
      <w:r w:rsidRPr="00B223C2">
        <w:rPr>
          <w:rFonts w:cstheme="minorHAnsi"/>
          <w:b/>
        </w:rPr>
        <w:t xml:space="preserve">Sdružení investorů – </w:t>
      </w:r>
      <w:r w:rsidR="00C33381" w:rsidRPr="00B223C2">
        <w:rPr>
          <w:rFonts w:cstheme="minorHAnsi"/>
          <w:b/>
        </w:rPr>
        <w:t xml:space="preserve">Druhou variantou je varianta </w:t>
      </w:r>
      <w:r w:rsidR="00C33381" w:rsidRPr="00B223C2">
        <w:rPr>
          <w:rFonts w:cstheme="minorHAnsi"/>
          <w:b/>
          <w:u w:val="single"/>
        </w:rPr>
        <w:t xml:space="preserve">privátního investorského konsorcia, </w:t>
      </w:r>
      <w:r w:rsidR="00C33381" w:rsidRPr="00B223C2">
        <w:rPr>
          <w:rFonts w:cstheme="minorHAnsi"/>
        </w:rPr>
        <w:t>tzn. sdružení investorů s cílem dosažení určitého cíle (ČEZ, finanční investor, velký odběratel, dodavatel jaderného bloku a</w:t>
      </w:r>
      <w:r w:rsidR="00725924">
        <w:rPr>
          <w:rFonts w:cstheme="minorHAnsi"/>
        </w:rPr>
        <w:t>t</w:t>
      </w:r>
      <w:r w:rsidR="00C33381" w:rsidRPr="00B223C2">
        <w:rPr>
          <w:rFonts w:cstheme="minorHAnsi"/>
        </w:rPr>
        <w:t>d.). Složení konsorcia a procentuální rozložení</w:t>
      </w:r>
      <w:r w:rsidR="00E8519A">
        <w:rPr>
          <w:rFonts w:cstheme="minorHAnsi"/>
        </w:rPr>
        <w:t xml:space="preserve"> majetkových podílů</w:t>
      </w:r>
      <w:r w:rsidR="00C33381" w:rsidRPr="00B223C2">
        <w:rPr>
          <w:rFonts w:cstheme="minorHAnsi"/>
        </w:rPr>
        <w:t xml:space="preserve"> závisí na ochotě jednotlivých investorů vstoupit do projektu.</w:t>
      </w:r>
      <w:r w:rsidR="00B223C2">
        <w:rPr>
          <w:rFonts w:cstheme="minorHAnsi"/>
        </w:rPr>
        <w:t xml:space="preserve"> S ohledem na zkušenosti z jiných projektů v Evropě lze předpokládat, že za stávající tržní situace bude </w:t>
      </w:r>
      <w:r w:rsidR="009552BB">
        <w:rPr>
          <w:rFonts w:cstheme="minorHAnsi"/>
        </w:rPr>
        <w:t xml:space="preserve">takovéto </w:t>
      </w:r>
      <w:r w:rsidR="00B223C2">
        <w:rPr>
          <w:rFonts w:cstheme="minorHAnsi"/>
        </w:rPr>
        <w:t>privátní konsorcium po vládě očekávat nějakou formu garancí.</w:t>
      </w:r>
    </w:p>
    <w:p w:rsidR="00F923D9" w:rsidRDefault="00F923D9" w:rsidP="00F923D9">
      <w:pPr>
        <w:pStyle w:val="Titulek"/>
        <w:keepNext/>
      </w:pPr>
      <w:bookmarkStart w:id="217" w:name="_Toc420058317"/>
      <w:r w:rsidRPr="00F923D9">
        <w:rPr>
          <w:color w:val="auto"/>
          <w:sz w:val="22"/>
        </w:rPr>
        <w:t xml:space="preserve">Tabulka č. </w:t>
      </w:r>
      <w:r w:rsidRPr="00F923D9">
        <w:rPr>
          <w:color w:val="auto"/>
          <w:sz w:val="22"/>
        </w:rPr>
        <w:fldChar w:fldCharType="begin"/>
      </w:r>
      <w:r w:rsidRPr="00F923D9">
        <w:rPr>
          <w:color w:val="auto"/>
          <w:sz w:val="22"/>
        </w:rPr>
        <w:instrText xml:space="preserve"> SEQ Tabulka_č. \* ARABIC </w:instrText>
      </w:r>
      <w:r w:rsidRPr="00F923D9">
        <w:rPr>
          <w:color w:val="auto"/>
          <w:sz w:val="22"/>
        </w:rPr>
        <w:fldChar w:fldCharType="separate"/>
      </w:r>
      <w:r w:rsidR="00FE1E1A">
        <w:rPr>
          <w:noProof/>
          <w:color w:val="auto"/>
          <w:sz w:val="22"/>
        </w:rPr>
        <w:t>13</w:t>
      </w:r>
      <w:r w:rsidRPr="00F923D9">
        <w:rPr>
          <w:color w:val="auto"/>
          <w:sz w:val="22"/>
        </w:rPr>
        <w:fldChar w:fldCharType="end"/>
      </w:r>
      <w:r w:rsidRPr="00F923D9">
        <w:rPr>
          <w:color w:val="auto"/>
          <w:sz w:val="22"/>
        </w:rPr>
        <w:t xml:space="preserve">: </w:t>
      </w:r>
      <w:r w:rsidRPr="00F923D9">
        <w:rPr>
          <w:b w:val="0"/>
          <w:i/>
          <w:color w:val="auto"/>
          <w:sz w:val="22"/>
        </w:rPr>
        <w:t xml:space="preserve">SWOT analýza – </w:t>
      </w:r>
      <w:r>
        <w:rPr>
          <w:b w:val="0"/>
          <w:i/>
          <w:color w:val="auto"/>
          <w:sz w:val="22"/>
        </w:rPr>
        <w:t xml:space="preserve">druhá </w:t>
      </w:r>
      <w:r w:rsidRPr="00F923D9">
        <w:rPr>
          <w:b w:val="0"/>
          <w:i/>
          <w:color w:val="auto"/>
          <w:sz w:val="22"/>
        </w:rPr>
        <w:t>varianta investičního modelu</w:t>
      </w:r>
      <w:bookmarkEnd w:id="217"/>
    </w:p>
    <w:tbl>
      <w:tblPr>
        <w:tblW w:w="5000" w:type="pct"/>
        <w:tblCellMar>
          <w:left w:w="0" w:type="dxa"/>
          <w:right w:w="0" w:type="dxa"/>
        </w:tblCellMar>
        <w:tblLook w:val="04A0" w:firstRow="1" w:lastRow="0" w:firstColumn="1" w:lastColumn="0" w:noHBand="0" w:noVBand="1"/>
      </w:tblPr>
      <w:tblGrid>
        <w:gridCol w:w="4644"/>
        <w:gridCol w:w="4644"/>
      </w:tblGrid>
      <w:tr w:rsidR="00725924"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S – silné stránky</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W – slabé stránky</w:t>
            </w:r>
          </w:p>
        </w:tc>
      </w:tr>
      <w:tr w:rsidR="00725924"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ind w:left="414" w:hanging="357"/>
              <w:rPr>
                <w:rFonts w:ascii="Calibri" w:hAnsi="Calibri"/>
              </w:rPr>
            </w:pPr>
            <w:r>
              <w:t>Vyšší míra diverzifikace nákladů a potenciálních rizik.</w:t>
            </w:r>
          </w:p>
          <w:p w:rsidR="00725924" w:rsidRDefault="00725924" w:rsidP="00725924">
            <w:pPr>
              <w:pStyle w:val="Odstavecseseznamem"/>
              <w:numPr>
                <w:ilvl w:val="0"/>
                <w:numId w:val="119"/>
              </w:numPr>
              <w:spacing w:after="0"/>
              <w:ind w:left="414" w:hanging="357"/>
              <w:rPr>
                <w:rFonts w:ascii="Times New Roman" w:eastAsia="Times New Roman" w:hAnsi="Times New Roman"/>
                <w:sz w:val="20"/>
                <w:szCs w:val="20"/>
                <w:lang w:eastAsia="cs-CZ"/>
              </w:rPr>
            </w:pPr>
            <w:r>
              <w:t>Sdílené „know-how“ společností podílejících se na projektu.</w:t>
            </w:r>
          </w:p>
          <w:p w:rsidR="00725924" w:rsidRDefault="00725924" w:rsidP="00725924">
            <w:pPr>
              <w:pStyle w:val="Odstavecseseznamem"/>
              <w:numPr>
                <w:ilvl w:val="0"/>
                <w:numId w:val="119"/>
              </w:numPr>
              <w:spacing w:after="0"/>
              <w:ind w:left="414" w:hanging="357"/>
            </w:pPr>
            <w:r>
              <w:t>Potenciálně nižší náklady cizího kapitálu.</w:t>
            </w:r>
          </w:p>
          <w:p w:rsidR="00725924" w:rsidRDefault="00725924" w:rsidP="00725924">
            <w:pPr>
              <w:pStyle w:val="Odstavecseseznamem"/>
              <w:numPr>
                <w:ilvl w:val="0"/>
                <w:numId w:val="119"/>
              </w:numPr>
              <w:spacing w:after="0"/>
              <w:ind w:left="414" w:hanging="357"/>
            </w:pPr>
            <w:r>
              <w:t>Tlak na včasné dokončení projektu.</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rPr>
                <w:rFonts w:ascii="Calibri" w:hAnsi="Calibri"/>
              </w:rPr>
            </w:pPr>
            <w:r>
              <w:t>Nedostatek silných investorů - spotřebitelů elektrické energie.</w:t>
            </w:r>
          </w:p>
          <w:p w:rsidR="00725924" w:rsidRPr="00E23F30" w:rsidRDefault="00725924" w:rsidP="00E23F30">
            <w:pPr>
              <w:pStyle w:val="Odstavecseseznamem"/>
              <w:numPr>
                <w:ilvl w:val="0"/>
                <w:numId w:val="119"/>
              </w:numPr>
              <w:spacing w:before="240" w:after="0"/>
              <w:jc w:val="both"/>
              <w:rPr>
                <w:rFonts w:ascii="Times New Roman" w:eastAsia="Times New Roman" w:hAnsi="Times New Roman"/>
                <w:sz w:val="20"/>
                <w:szCs w:val="20"/>
                <w:lang w:eastAsia="cs-CZ"/>
              </w:rPr>
            </w:pPr>
            <w:r>
              <w:t>Za stávající tržní situace lze předpokládat, že bude privátní konsorcium po vládě očekávat nějakou formu garancí.</w:t>
            </w:r>
          </w:p>
          <w:p w:rsidR="00725924" w:rsidRDefault="00725924" w:rsidP="00725924">
            <w:pPr>
              <w:pStyle w:val="Odstavecseseznamem"/>
              <w:numPr>
                <w:ilvl w:val="0"/>
                <w:numId w:val="119"/>
              </w:numPr>
              <w:spacing w:after="0"/>
              <w:rPr>
                <w:rFonts w:ascii="Times New Roman" w:eastAsia="Times New Roman" w:hAnsi="Times New Roman"/>
                <w:sz w:val="20"/>
                <w:szCs w:val="20"/>
                <w:lang w:eastAsia="cs-CZ"/>
              </w:rPr>
            </w:pPr>
            <w:r>
              <w:t>Poskytnutí případné státní podpory vyžaduje notifikaci ze strany E</w:t>
            </w:r>
            <w:r w:rsidR="00E23F30">
              <w:t>vropské komise</w:t>
            </w:r>
            <w:r>
              <w:t>.</w:t>
            </w:r>
          </w:p>
          <w:p w:rsidR="00725924" w:rsidRDefault="00725924" w:rsidP="00725924">
            <w:pPr>
              <w:pStyle w:val="Odstavecseseznamem"/>
              <w:numPr>
                <w:ilvl w:val="0"/>
                <w:numId w:val="119"/>
              </w:numPr>
              <w:spacing w:after="0"/>
            </w:pPr>
            <w:r>
              <w:t>Nutný postup dle ZVZ nebo získání výjimky (investor není kapitálově provázán s dodavatelem).</w:t>
            </w:r>
          </w:p>
        </w:tc>
      </w:tr>
    </w:tbl>
    <w:p w:rsidR="00F923D9" w:rsidRPr="00F923D9" w:rsidRDefault="00F923D9" w:rsidP="00F923D9">
      <w:pPr>
        <w:pStyle w:val="Odstavecseseznamem"/>
        <w:spacing w:before="120" w:after="120"/>
        <w:ind w:left="714"/>
        <w:contextualSpacing w:val="0"/>
        <w:jc w:val="both"/>
        <w:rPr>
          <w:rFonts w:cs="Arial"/>
          <w:b/>
        </w:rPr>
      </w:pPr>
    </w:p>
    <w:tbl>
      <w:tblPr>
        <w:tblW w:w="5000" w:type="pct"/>
        <w:tblCellMar>
          <w:left w:w="0" w:type="dxa"/>
          <w:right w:w="0" w:type="dxa"/>
        </w:tblCellMar>
        <w:tblLook w:val="04A0" w:firstRow="1" w:lastRow="0" w:firstColumn="1" w:lastColumn="0" w:noHBand="0" w:noVBand="1"/>
      </w:tblPr>
      <w:tblGrid>
        <w:gridCol w:w="4644"/>
        <w:gridCol w:w="4644"/>
      </w:tblGrid>
      <w:tr w:rsidR="00E64D47"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t>O - příležitosti</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t>T - hrozby</w:t>
            </w:r>
          </w:p>
        </w:tc>
      </w:tr>
      <w:tr w:rsidR="00E64D47"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pPr>
            <w:r>
              <w:t>V případě vyšších cen na trhu konkurenční výhoda pro odběratele podílející se na projektu.</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rPr>
                <w:rFonts w:ascii="Calibri" w:hAnsi="Calibri"/>
              </w:rPr>
            </w:pPr>
            <w:r>
              <w:t>Neschválení notifikace Evropskou komisí.</w:t>
            </w:r>
          </w:p>
          <w:p w:rsidR="00E64D47" w:rsidRDefault="00E64D47" w:rsidP="004D00ED">
            <w:pPr>
              <w:pStyle w:val="Odstavecseseznamem"/>
              <w:numPr>
                <w:ilvl w:val="0"/>
                <w:numId w:val="119"/>
              </w:numPr>
              <w:spacing w:after="0"/>
              <w:ind w:left="414" w:hanging="357"/>
            </w:pPr>
            <w:r>
              <w:t>Potenciální neschopnost koordinace zájmů jednotlivých investorů v rámci konsorcia.</w:t>
            </w:r>
          </w:p>
          <w:p w:rsidR="00E64D47" w:rsidRDefault="00E64D47" w:rsidP="004D00ED">
            <w:pPr>
              <w:pStyle w:val="Odstavecseseznamem"/>
              <w:numPr>
                <w:ilvl w:val="0"/>
                <w:numId w:val="119"/>
              </w:numPr>
              <w:spacing w:after="0"/>
            </w:pPr>
            <w:r>
              <w:t xml:space="preserve">V případě </w:t>
            </w:r>
            <w:r w:rsidRPr="008A42DD">
              <w:t xml:space="preserve">přesunutí </w:t>
            </w:r>
            <w:r>
              <w:t xml:space="preserve">jisté části </w:t>
            </w:r>
            <w:r w:rsidRPr="008A42DD">
              <w:t>nákladů nového jaderného zdroje na spotřebitele</w:t>
            </w:r>
            <w:r>
              <w:t xml:space="preserve">, </w:t>
            </w:r>
            <w:r w:rsidRPr="008A42DD">
              <w:t xml:space="preserve">může </w:t>
            </w:r>
            <w:r>
              <w:t>nastat</w:t>
            </w:r>
            <w:r w:rsidRPr="008A42DD">
              <w:t xml:space="preserve"> </w:t>
            </w:r>
            <w:r>
              <w:t>významná změna</w:t>
            </w:r>
            <w:r w:rsidRPr="008A42DD">
              <w:t xml:space="preserve"> postoje veřejnosti v neprospěch výstavby. </w:t>
            </w:r>
          </w:p>
        </w:tc>
      </w:tr>
    </w:tbl>
    <w:p w:rsidR="00725924" w:rsidRPr="004A6202" w:rsidRDefault="009E13DB" w:rsidP="00725924">
      <w:pPr>
        <w:pStyle w:val="Odstavecseseznamem"/>
        <w:numPr>
          <w:ilvl w:val="0"/>
          <w:numId w:val="55"/>
        </w:numPr>
        <w:spacing w:before="240" w:after="240"/>
        <w:ind w:left="714" w:hanging="357"/>
        <w:contextualSpacing w:val="0"/>
        <w:jc w:val="both"/>
        <w:rPr>
          <w:rFonts w:cs="Arial"/>
          <w:b/>
        </w:rPr>
      </w:pPr>
      <w:r w:rsidRPr="00B223C2">
        <w:rPr>
          <w:rFonts w:cstheme="minorHAnsi"/>
          <w:b/>
        </w:rPr>
        <w:t>Státní podnik –</w:t>
      </w:r>
      <w:r w:rsidRPr="00B223C2">
        <w:rPr>
          <w:rFonts w:cstheme="minorHAnsi"/>
        </w:rPr>
        <w:t xml:space="preserve"> </w:t>
      </w:r>
      <w:r w:rsidR="00C33381" w:rsidRPr="00B223C2">
        <w:rPr>
          <w:rFonts w:cstheme="minorHAnsi"/>
        </w:rPr>
        <w:t xml:space="preserve">Třetí variantou je </w:t>
      </w:r>
      <w:r w:rsidR="00C33381" w:rsidRPr="00B223C2">
        <w:rPr>
          <w:rFonts w:cstheme="minorHAnsi"/>
          <w:b/>
          <w:u w:val="single"/>
        </w:rPr>
        <w:t>přímá výstavba ze strany státu</w:t>
      </w:r>
      <w:r w:rsidR="00C33381" w:rsidRPr="00B223C2">
        <w:rPr>
          <w:rFonts w:cstheme="minorHAnsi"/>
          <w:u w:val="single"/>
        </w:rPr>
        <w:t xml:space="preserve"> </w:t>
      </w:r>
      <w:r w:rsidR="00C33381" w:rsidRPr="00B223C2">
        <w:rPr>
          <w:rFonts w:cstheme="minorHAnsi"/>
          <w:b/>
          <w:u w:val="single"/>
        </w:rPr>
        <w:t>prostřednictvím nově založeného státního podniku</w:t>
      </w:r>
      <w:r w:rsidR="00C33381" w:rsidRPr="00B223C2">
        <w:rPr>
          <w:rFonts w:cstheme="minorHAnsi"/>
        </w:rPr>
        <w:t>. Tato varianta je však z důvodu velkého počtu negativ a</w:t>
      </w:r>
      <w:r w:rsidR="00E963D2">
        <w:rPr>
          <w:rFonts w:cstheme="minorHAnsi"/>
        </w:rPr>
        <w:t> </w:t>
      </w:r>
      <w:r w:rsidR="00C33381" w:rsidRPr="00B223C2">
        <w:rPr>
          <w:rFonts w:cstheme="minorHAnsi"/>
        </w:rPr>
        <w:t>především z důvodu vysokého dopadu na státní rozpočet a s tím souvisejícího zvyšování státního dluhu nejméně pravděpodobná a je proto uváděna pouze pro úplnost.</w:t>
      </w:r>
    </w:p>
    <w:p w:rsidR="00F923D9" w:rsidRDefault="00F923D9" w:rsidP="00F923D9">
      <w:pPr>
        <w:pStyle w:val="Titulek"/>
        <w:keepNext/>
      </w:pPr>
      <w:bookmarkStart w:id="218" w:name="_Toc420058318"/>
      <w:r w:rsidRPr="00F923D9">
        <w:rPr>
          <w:color w:val="auto"/>
          <w:sz w:val="22"/>
        </w:rPr>
        <w:lastRenderedPageBreak/>
        <w:t xml:space="preserve">Tabulka č. </w:t>
      </w:r>
      <w:r w:rsidRPr="00F923D9">
        <w:rPr>
          <w:color w:val="auto"/>
          <w:sz w:val="22"/>
        </w:rPr>
        <w:fldChar w:fldCharType="begin"/>
      </w:r>
      <w:r w:rsidRPr="00F923D9">
        <w:rPr>
          <w:color w:val="auto"/>
          <w:sz w:val="22"/>
        </w:rPr>
        <w:instrText xml:space="preserve"> SEQ Tabulka_č. \* ARABIC </w:instrText>
      </w:r>
      <w:r w:rsidRPr="00F923D9">
        <w:rPr>
          <w:color w:val="auto"/>
          <w:sz w:val="22"/>
        </w:rPr>
        <w:fldChar w:fldCharType="separate"/>
      </w:r>
      <w:r w:rsidR="00FE1E1A">
        <w:rPr>
          <w:noProof/>
          <w:color w:val="auto"/>
          <w:sz w:val="22"/>
        </w:rPr>
        <w:t>14</w:t>
      </w:r>
      <w:r w:rsidRPr="00F923D9">
        <w:rPr>
          <w:color w:val="auto"/>
          <w:sz w:val="22"/>
        </w:rPr>
        <w:fldChar w:fldCharType="end"/>
      </w:r>
      <w:r w:rsidRPr="00F923D9">
        <w:rPr>
          <w:color w:val="auto"/>
          <w:sz w:val="22"/>
        </w:rPr>
        <w:t xml:space="preserve">: </w:t>
      </w:r>
      <w:r w:rsidRPr="00F923D9">
        <w:rPr>
          <w:b w:val="0"/>
          <w:i/>
          <w:color w:val="auto"/>
          <w:sz w:val="22"/>
        </w:rPr>
        <w:t xml:space="preserve">SWOT analýza – </w:t>
      </w:r>
      <w:r>
        <w:rPr>
          <w:b w:val="0"/>
          <w:i/>
          <w:color w:val="auto"/>
          <w:sz w:val="22"/>
        </w:rPr>
        <w:t xml:space="preserve">třetí </w:t>
      </w:r>
      <w:r w:rsidRPr="00F923D9">
        <w:rPr>
          <w:b w:val="0"/>
          <w:i/>
          <w:color w:val="auto"/>
          <w:sz w:val="22"/>
        </w:rPr>
        <w:t>varianta investičního modelu</w:t>
      </w:r>
      <w:bookmarkEnd w:id="218"/>
    </w:p>
    <w:tbl>
      <w:tblPr>
        <w:tblW w:w="5000" w:type="pct"/>
        <w:tblCellMar>
          <w:left w:w="0" w:type="dxa"/>
          <w:right w:w="0" w:type="dxa"/>
        </w:tblCellMar>
        <w:tblLook w:val="04A0" w:firstRow="1" w:lastRow="0" w:firstColumn="1" w:lastColumn="0" w:noHBand="0" w:noVBand="1"/>
      </w:tblPr>
      <w:tblGrid>
        <w:gridCol w:w="4644"/>
        <w:gridCol w:w="4644"/>
      </w:tblGrid>
      <w:tr w:rsidR="00725924"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S – silné stránky</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725924" w:rsidRDefault="00725924" w:rsidP="003F62D8">
            <w:pPr>
              <w:spacing w:before="120" w:after="120"/>
              <w:jc w:val="center"/>
              <w:rPr>
                <w:b/>
                <w:bCs/>
              </w:rPr>
            </w:pPr>
            <w:r>
              <w:rPr>
                <w:b/>
                <w:bCs/>
              </w:rPr>
              <w:t>W – slabé stránky</w:t>
            </w:r>
          </w:p>
        </w:tc>
      </w:tr>
      <w:tr w:rsidR="00725924"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ind w:left="414" w:hanging="357"/>
              <w:rPr>
                <w:rFonts w:ascii="Calibri" w:hAnsi="Calibri"/>
              </w:rPr>
            </w:pPr>
            <w:r>
              <w:t>možnost hájit zájmy státu ve prospěch vyššího podílu českých dodavatelů.</w:t>
            </w:r>
          </w:p>
          <w:p w:rsidR="00725924" w:rsidRDefault="00725924" w:rsidP="00725924">
            <w:pPr>
              <w:pStyle w:val="Odstavecseseznamem"/>
              <w:numPr>
                <w:ilvl w:val="0"/>
                <w:numId w:val="119"/>
              </w:numPr>
              <w:spacing w:after="0"/>
              <w:ind w:left="414" w:hanging="357"/>
            </w:pPr>
            <w:r>
              <w:t>Bez potřeby vstupu cizího kapitálu.</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725924" w:rsidRDefault="00725924" w:rsidP="00725924">
            <w:pPr>
              <w:pStyle w:val="Odstavecseseznamem"/>
              <w:numPr>
                <w:ilvl w:val="0"/>
                <w:numId w:val="119"/>
              </w:numPr>
              <w:spacing w:after="0"/>
              <w:ind w:left="414" w:hanging="357"/>
              <w:rPr>
                <w:rFonts w:ascii="Calibri" w:hAnsi="Calibri"/>
              </w:rPr>
            </w:pPr>
            <w:r>
              <w:t>Vysoký dopad na státní rozpočet.</w:t>
            </w:r>
          </w:p>
          <w:p w:rsidR="00725924" w:rsidRDefault="00725924" w:rsidP="00725924">
            <w:pPr>
              <w:pStyle w:val="Odstavecseseznamem"/>
              <w:numPr>
                <w:ilvl w:val="0"/>
                <w:numId w:val="119"/>
              </w:numPr>
              <w:spacing w:after="0"/>
              <w:ind w:left="414" w:hanging="357"/>
            </w:pPr>
            <w:r>
              <w:t>Zvyšování státního dluhu.</w:t>
            </w:r>
          </w:p>
          <w:p w:rsidR="00725924" w:rsidRDefault="00725924" w:rsidP="00725924">
            <w:pPr>
              <w:pStyle w:val="Odstavecseseznamem"/>
              <w:numPr>
                <w:ilvl w:val="0"/>
                <w:numId w:val="119"/>
              </w:numPr>
              <w:spacing w:after="0"/>
              <w:ind w:left="414" w:hanging="357"/>
            </w:pPr>
            <w:r>
              <w:t>Nesoulad s fiskální politikou vlády v oblasti snižování schodku státního rozpočtu a státního dluhu.</w:t>
            </w:r>
          </w:p>
          <w:p w:rsidR="00725924" w:rsidRDefault="00725924" w:rsidP="00725924">
            <w:pPr>
              <w:pStyle w:val="Odstavecseseznamem"/>
              <w:numPr>
                <w:ilvl w:val="0"/>
                <w:numId w:val="119"/>
              </w:numPr>
              <w:spacing w:after="0"/>
              <w:ind w:left="414" w:hanging="357"/>
            </w:pPr>
            <w:r>
              <w:t>Riziko snížení ratingového hodnocení pro Č</w:t>
            </w:r>
            <w:r w:rsidR="00C00DCA">
              <w:t>R</w:t>
            </w:r>
            <w:r>
              <w:t>.</w:t>
            </w:r>
          </w:p>
          <w:p w:rsidR="00725924" w:rsidRDefault="00725924" w:rsidP="00725924">
            <w:pPr>
              <w:pStyle w:val="Odstavecseseznamem"/>
              <w:numPr>
                <w:ilvl w:val="0"/>
                <w:numId w:val="119"/>
              </w:numPr>
              <w:spacing w:after="0"/>
              <w:ind w:left="414" w:hanging="357"/>
            </w:pPr>
            <w:r>
              <w:t>Nedostatečné zkušenosti státu v přípravě projektu takového rozsahu (stát nedisponuje zkušenostmi, kvalifikovanou pracovní sílou, infrastrukturou, majetkem atd</w:t>
            </w:r>
            <w:r w:rsidR="00C00DCA">
              <w:t>.</w:t>
            </w:r>
            <w:r>
              <w:t xml:space="preserve">). </w:t>
            </w:r>
          </w:p>
        </w:tc>
      </w:tr>
    </w:tbl>
    <w:p w:rsidR="00F923D9" w:rsidRDefault="00F923D9" w:rsidP="00F923D9">
      <w:pPr>
        <w:spacing w:before="120" w:after="120"/>
      </w:pPr>
      <w:bookmarkStart w:id="219" w:name="_Toc408920071"/>
    </w:p>
    <w:tbl>
      <w:tblPr>
        <w:tblW w:w="5000" w:type="pct"/>
        <w:tblCellMar>
          <w:left w:w="0" w:type="dxa"/>
          <w:right w:w="0" w:type="dxa"/>
        </w:tblCellMar>
        <w:tblLook w:val="04A0" w:firstRow="1" w:lastRow="0" w:firstColumn="1" w:lastColumn="0" w:noHBand="0" w:noVBand="1"/>
      </w:tblPr>
      <w:tblGrid>
        <w:gridCol w:w="4644"/>
        <w:gridCol w:w="4644"/>
      </w:tblGrid>
      <w:tr w:rsidR="00E64D47" w:rsidTr="003F62D8">
        <w:tc>
          <w:tcPr>
            <w:tcW w:w="2500" w:type="pct"/>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t>O – příležitosti</w:t>
            </w:r>
          </w:p>
        </w:tc>
        <w:tc>
          <w:tcPr>
            <w:tcW w:w="2500" w:type="pct"/>
            <w:tcBorders>
              <w:top w:val="single" w:sz="12" w:space="0" w:color="auto"/>
              <w:left w:val="nil"/>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E64D47" w:rsidRDefault="00E64D47" w:rsidP="003F62D8">
            <w:pPr>
              <w:spacing w:before="120" w:after="120"/>
              <w:jc w:val="center"/>
              <w:rPr>
                <w:b/>
                <w:bCs/>
              </w:rPr>
            </w:pPr>
            <w:r>
              <w:rPr>
                <w:b/>
                <w:bCs/>
              </w:rPr>
              <w:t>T – hrozby</w:t>
            </w:r>
          </w:p>
        </w:tc>
      </w:tr>
      <w:tr w:rsidR="00E64D47" w:rsidTr="003F62D8">
        <w:tc>
          <w:tcPr>
            <w:tcW w:w="2500" w:type="pct"/>
            <w:tcBorders>
              <w:top w:val="single" w:sz="12" w:space="0" w:color="auto"/>
              <w:left w:val="single" w:sz="12" w:space="0" w:color="auto"/>
              <w:bottom w:val="thinThickSmallGap" w:sz="24" w:space="0" w:color="auto"/>
              <w:right w:val="single" w:sz="8"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pPr>
            <w:r>
              <w:t>Udržení strategických zájmů ČR i v případě přetrvávajících distorzí na trhu s elektřinou.</w:t>
            </w:r>
          </w:p>
        </w:tc>
        <w:tc>
          <w:tcPr>
            <w:tcW w:w="2500" w:type="pct"/>
            <w:tcBorders>
              <w:top w:val="single" w:sz="12" w:space="0" w:color="auto"/>
              <w:left w:val="nil"/>
              <w:bottom w:val="thinThickSmallGap" w:sz="24" w:space="0" w:color="auto"/>
              <w:right w:val="single" w:sz="12" w:space="0" w:color="auto"/>
            </w:tcBorders>
            <w:tcMar>
              <w:top w:w="0" w:type="dxa"/>
              <w:left w:w="108" w:type="dxa"/>
              <w:bottom w:w="0" w:type="dxa"/>
              <w:right w:w="108" w:type="dxa"/>
            </w:tcMar>
            <w:hideMark/>
          </w:tcPr>
          <w:p w:rsidR="00E64D47" w:rsidRDefault="00E64D47" w:rsidP="004D00ED">
            <w:pPr>
              <w:pStyle w:val="Odstavecseseznamem"/>
              <w:numPr>
                <w:ilvl w:val="0"/>
                <w:numId w:val="119"/>
              </w:numPr>
              <w:spacing w:after="0"/>
              <w:ind w:left="414" w:hanging="357"/>
            </w:pPr>
            <w:r>
              <w:t>V případě přetrvávání aktuální situace na trhu s elektřinou hrozí nenávratnost státní investice s negativním dopadem na státní rozpočet a státní dluh.</w:t>
            </w:r>
          </w:p>
          <w:p w:rsidR="00E64D47" w:rsidRDefault="00E64D47" w:rsidP="004D00ED">
            <w:pPr>
              <w:pStyle w:val="Odstavecseseznamem"/>
              <w:numPr>
                <w:ilvl w:val="0"/>
                <w:numId w:val="119"/>
              </w:numPr>
              <w:spacing w:after="0"/>
              <w:ind w:left="414" w:hanging="357"/>
            </w:pPr>
            <w:r>
              <w:t>Nedostatečný tlak na snižování nákladů a možnost prodražení celé investice.</w:t>
            </w:r>
          </w:p>
          <w:p w:rsidR="00E64D47" w:rsidRDefault="00E64D47" w:rsidP="004D00ED">
            <w:pPr>
              <w:pStyle w:val="Odstavecseseznamem"/>
              <w:numPr>
                <w:ilvl w:val="0"/>
                <w:numId w:val="119"/>
              </w:numPr>
              <w:spacing w:after="0"/>
              <w:ind w:left="414" w:hanging="357"/>
            </w:pPr>
            <w:r>
              <w:t xml:space="preserve">Nedostatečný tlak na dodržování termínů. </w:t>
            </w:r>
          </w:p>
          <w:p w:rsidR="00E64D47" w:rsidRDefault="00E64D47" w:rsidP="004D00ED">
            <w:pPr>
              <w:pStyle w:val="Odstavecseseznamem"/>
              <w:numPr>
                <w:ilvl w:val="0"/>
                <w:numId w:val="119"/>
              </w:numPr>
              <w:spacing w:after="0"/>
              <w:ind w:left="414" w:hanging="357"/>
            </w:pPr>
            <w:r>
              <w:t>Z důvodu velké investice do výstavby nových jaderných bloků může dojít k ohrožení financování jiných oblastí státní sféry (důchody, sociální politika, zdravotnictví atd.).</w:t>
            </w:r>
          </w:p>
          <w:p w:rsidR="00E64D47" w:rsidRDefault="00E64D47" w:rsidP="004D00ED">
            <w:pPr>
              <w:pStyle w:val="Odstavecseseznamem"/>
              <w:numPr>
                <w:ilvl w:val="0"/>
                <w:numId w:val="119"/>
              </w:numPr>
              <w:spacing w:after="0"/>
              <w:ind w:left="414" w:hanging="357"/>
            </w:pPr>
            <w:r>
              <w:t>Nutný souhlas Evropské komise s tímto modelem výstavby.</w:t>
            </w:r>
          </w:p>
          <w:p w:rsidR="00E64D47" w:rsidRDefault="00E64D47" w:rsidP="004D00ED">
            <w:pPr>
              <w:pStyle w:val="Odstavecseseznamem"/>
              <w:numPr>
                <w:ilvl w:val="0"/>
                <w:numId w:val="119"/>
              </w:numPr>
              <w:spacing w:after="0"/>
              <w:ind w:left="414" w:hanging="357"/>
            </w:pPr>
            <w:r>
              <w:t xml:space="preserve">V případě </w:t>
            </w:r>
            <w:r w:rsidRPr="008A42DD">
              <w:t xml:space="preserve">přesunutí </w:t>
            </w:r>
            <w:r>
              <w:t xml:space="preserve">jisté části </w:t>
            </w:r>
            <w:r w:rsidRPr="008A42DD">
              <w:t>nákladů nového jaderného zdroje na spotřebitele</w:t>
            </w:r>
            <w:r>
              <w:t xml:space="preserve">, </w:t>
            </w:r>
            <w:r w:rsidRPr="008A42DD">
              <w:t xml:space="preserve">může </w:t>
            </w:r>
            <w:r>
              <w:t>nastat</w:t>
            </w:r>
            <w:r w:rsidRPr="008A42DD">
              <w:t xml:space="preserve"> </w:t>
            </w:r>
            <w:r>
              <w:t>významná změna</w:t>
            </w:r>
            <w:r w:rsidRPr="008A42DD">
              <w:t xml:space="preserve"> postoje veřejnosti v neprospěch výstavby.</w:t>
            </w:r>
          </w:p>
        </w:tc>
      </w:tr>
    </w:tbl>
    <w:p w:rsidR="00FB0D80" w:rsidRDefault="00FB0D80">
      <w:pPr>
        <w:rPr>
          <w:rFonts w:asciiTheme="majorHAnsi" w:eastAsiaTheme="majorEastAsia" w:hAnsiTheme="majorHAnsi" w:cstheme="majorBidi"/>
          <w:b/>
          <w:bCs/>
        </w:rPr>
      </w:pPr>
      <w:r>
        <w:br w:type="page"/>
      </w:r>
    </w:p>
    <w:p w:rsidR="00C33381" w:rsidRPr="002918F0" w:rsidRDefault="00C33381" w:rsidP="00B223C2">
      <w:pPr>
        <w:pStyle w:val="Nadpis3"/>
      </w:pPr>
      <w:bookmarkStart w:id="220" w:name="_Toc420056028"/>
      <w:r w:rsidRPr="002918F0">
        <w:lastRenderedPageBreak/>
        <w:t>Podíl domácích dodavatelských firem</w:t>
      </w:r>
      <w:bookmarkEnd w:id="219"/>
      <w:bookmarkEnd w:id="220"/>
    </w:p>
    <w:p w:rsidR="00C33381" w:rsidRDefault="00C33381" w:rsidP="00C33381">
      <w:pPr>
        <w:jc w:val="both"/>
      </w:pPr>
      <w:r w:rsidRPr="002918F0">
        <w:t xml:space="preserve">Výše uvedené varianty mají </w:t>
      </w:r>
      <w:r>
        <w:t xml:space="preserve">určité odlišnosti </w:t>
      </w:r>
      <w:r w:rsidRPr="002918F0">
        <w:t>v možnosti ovlivnit podíl domácích dodavatelských firem na celkové dodáv</w:t>
      </w:r>
      <w:r w:rsidRPr="00224BD2">
        <w:t>ce</w:t>
      </w:r>
      <w:r>
        <w:t xml:space="preserve">. </w:t>
      </w:r>
      <w:r w:rsidRPr="00224BD2">
        <w:t>Zatímco v prvních dvou variantách má stát pouze nepřímé nástroje na prosaze</w:t>
      </w:r>
      <w:r w:rsidRPr="008E3F0C">
        <w:t>ní většího podílu českých firem (prostřednictvím uplatnění svých akcionářských práv, definováním podmínek</w:t>
      </w:r>
      <w:r w:rsidR="00F577A5">
        <w:t xml:space="preserve"> pro </w:t>
      </w:r>
      <w:proofErr w:type="spellStart"/>
      <w:r w:rsidR="00F577A5">
        <w:t>Contract</w:t>
      </w:r>
      <w:proofErr w:type="spellEnd"/>
      <w:r w:rsidR="00F577A5">
        <w:t xml:space="preserve"> </w:t>
      </w:r>
      <w:proofErr w:type="spellStart"/>
      <w:r w:rsidR="00F577A5">
        <w:t>for</w:t>
      </w:r>
      <w:proofErr w:type="spellEnd"/>
      <w:r w:rsidR="00F577A5">
        <w:t xml:space="preserve"> </w:t>
      </w:r>
      <w:proofErr w:type="spellStart"/>
      <w:r w:rsidR="00F577A5">
        <w:t>Difference</w:t>
      </w:r>
      <w:proofErr w:type="spellEnd"/>
      <w:r w:rsidR="00F577A5">
        <w:t xml:space="preserve"> –</w:t>
      </w:r>
      <w:r w:rsidRPr="008E3F0C">
        <w:t xml:space="preserve"> </w:t>
      </w:r>
      <w:proofErr w:type="spellStart"/>
      <w:r w:rsidRPr="008E3F0C">
        <w:t>CfD</w:t>
      </w:r>
      <w:proofErr w:type="spellEnd"/>
      <w:r w:rsidRPr="008E3F0C">
        <w:t xml:space="preserve"> apod.), ve třetí variantě může stát podíl českých firem ovlivnit </w:t>
      </w:r>
      <w:r>
        <w:t>efektivněji (za předpokladu získání výjimky ze ZVZ)</w:t>
      </w:r>
      <w:r w:rsidRPr="008E3F0C">
        <w:t xml:space="preserve">. </w:t>
      </w:r>
      <w:r>
        <w:t xml:space="preserve">Klíčovým faktorem pro možnost ovlivnit podíl domácích dodavatelských firem je přitom způsob obchodního zajištění – v případě výběru EPC dodavatele podle ZVZ není možné hodnotit výši podílu domácích dodavatelů, a proto jsou nástroje pro motivaci EPC dodavatele využít domácí dodavatele velmi omezené. V případě získání výjimky ze ZVZ  je možné podíl domácích dodavatelů účinně ovlivnit (hodnotící kritérium, stanovení minimálního podílu domácích dodavatelů, cenová preference apod.) </w:t>
      </w:r>
      <w:r w:rsidRPr="008E3F0C">
        <w:t xml:space="preserve">Je </w:t>
      </w:r>
      <w:r>
        <w:t xml:space="preserve">však </w:t>
      </w:r>
      <w:r w:rsidRPr="008E3F0C">
        <w:t>nutné si uvědomit, že míra preference českých firem může mít významný negativní dopad na konkurenční prostředí, a tím na celkové náklady, popř. harmonogram výstavby. Případný výběr firem bez předchozích zkušeností s výstavbou konkrétní technologie navíc zvyšuje celková rizika projektu opět s negativním dopadem do nákladů a</w:t>
      </w:r>
      <w:r w:rsidR="00D22FE5">
        <w:t> </w:t>
      </w:r>
      <w:r w:rsidRPr="008E3F0C">
        <w:t>te</w:t>
      </w:r>
      <w:r w:rsidRPr="00A14A80">
        <w:t>rmínu výstavby. Možnost ovlivnění podílu českých firem rovněž závisí na zvoleném modelu obchodního zajištění, neboť v případě postupu dle ZVZ jsou ve všech variantách možnosti ovlivnění podílu českých firem velmi omezené.</w:t>
      </w:r>
    </w:p>
    <w:p w:rsidR="00891D29" w:rsidRPr="002918F0" w:rsidRDefault="00C33381" w:rsidP="00B223C2">
      <w:pPr>
        <w:pStyle w:val="Nadpis3"/>
      </w:pPr>
      <w:bookmarkStart w:id="221" w:name="_Toc420056029"/>
      <w:r>
        <w:t>Doporučený</w:t>
      </w:r>
      <w:r w:rsidR="00891D29" w:rsidRPr="002918F0">
        <w:t xml:space="preserve"> postup přípravy NJZ</w:t>
      </w:r>
      <w:bookmarkEnd w:id="221"/>
    </w:p>
    <w:p w:rsidR="00891D29" w:rsidRPr="002918F0" w:rsidRDefault="00891D29" w:rsidP="00891D29">
      <w:pPr>
        <w:jc w:val="both"/>
        <w:rPr>
          <w:b/>
        </w:rPr>
      </w:pPr>
      <w:r w:rsidRPr="002918F0">
        <w:t>Z důvodu vysoké míry nejistoty budoucí situace na trhu s elektřinou se doporučuje pokračovat v procesu přípravy a výstavby NJZ ve dvou fázích.</w:t>
      </w:r>
    </w:p>
    <w:p w:rsidR="00E06238" w:rsidRPr="002918F0" w:rsidRDefault="00E06238" w:rsidP="00E06238">
      <w:pPr>
        <w:jc w:val="both"/>
      </w:pPr>
      <w:r w:rsidRPr="002918F0">
        <w:t>V první fázi je zcela stěžejní uchovat vůbec pro ČR všechny potřebné kapacity pro budoucí výstavbu nových zdrojů</w:t>
      </w:r>
      <w:r w:rsidR="006F03D4">
        <w:t>. Je tedy</w:t>
      </w:r>
      <w:r w:rsidRPr="002918F0">
        <w:t xml:space="preserve"> potřeba neprodleně pokračovat v přípravných pracích vedoucích k výstavbě, včetně</w:t>
      </w:r>
      <w:r w:rsidR="006F03D4">
        <w:t xml:space="preserve"> zajištění</w:t>
      </w:r>
      <w:r w:rsidRPr="002918F0">
        <w:t xml:space="preserve"> všech potřebných povolení a uzavření smluv s</w:t>
      </w:r>
      <w:r w:rsidR="006F03D4">
        <w:t> </w:t>
      </w:r>
      <w:r w:rsidRPr="002918F0">
        <w:t>dodavateli</w:t>
      </w:r>
      <w:r w:rsidR="006F03D4">
        <w:t>. Ú</w:t>
      </w:r>
      <w:r w:rsidRPr="002918F0">
        <w:t xml:space="preserve">činnost </w:t>
      </w:r>
      <w:r w:rsidR="006F03D4">
        <w:t xml:space="preserve">smluv </w:t>
      </w:r>
      <w:r w:rsidRPr="002918F0">
        <w:t>bude omezena na činnosti nezbytné pro zajištění projektové přípravy nutné pro zpracování licenční a</w:t>
      </w:r>
      <w:r w:rsidR="00E963D2">
        <w:t> </w:t>
      </w:r>
      <w:r w:rsidRPr="002918F0">
        <w:t>povolovací dokumentace a pro zahájení výstavby po získání stavebního povolení. Tyto práce by měla provádět i nadále společnost ČEZ</w:t>
      </w:r>
      <w:r w:rsidR="009265F2" w:rsidRPr="002918F0">
        <w:t>. Časový rámec až do získání stavebního povolení je zhruba okolo roku 2025.</w:t>
      </w:r>
    </w:p>
    <w:p w:rsidR="00E06238" w:rsidRPr="002918F0" w:rsidRDefault="00E06238" w:rsidP="00E06238">
      <w:pPr>
        <w:jc w:val="both"/>
      </w:pPr>
      <w:r w:rsidRPr="002918F0">
        <w:t xml:space="preserve">Následně, nejpozději před vydáním stavebního povolení, v době, kdy bude reálně potřeba rozhodnout o výstavbě nových zdrojů a o vydání oznámení o plné účinnosti dodavatelské smlouvy s dodavatelem, a reálnému vynaložení investičních nákladů v objemu cca 250 – 300 mld. Kč (při výstavbě dvou bloků), by na základě tržní situace došlo k posouzení, </w:t>
      </w:r>
      <w:r w:rsidR="00CD5A12" w:rsidRPr="00CD5A12">
        <w:t xml:space="preserve">zda přetrvává potřeba výstavby nového jaderného zdroje a </w:t>
      </w:r>
      <w:r w:rsidRPr="002918F0">
        <w:t>zda:</w:t>
      </w:r>
    </w:p>
    <w:p w:rsidR="00E06238" w:rsidRPr="002918F0" w:rsidRDefault="0027697C" w:rsidP="0044189F">
      <w:pPr>
        <w:pStyle w:val="Odstavecseseznamem"/>
        <w:numPr>
          <w:ilvl w:val="0"/>
          <w:numId w:val="95"/>
        </w:numPr>
        <w:spacing w:before="240"/>
        <w:jc w:val="both"/>
      </w:pPr>
      <w:proofErr w:type="gramStart"/>
      <w:r>
        <w:t>S</w:t>
      </w:r>
      <w:r w:rsidR="00E06238" w:rsidRPr="002918F0">
        <w:t>e</w:t>
      </w:r>
      <w:proofErr w:type="gramEnd"/>
      <w:r w:rsidR="00E06238" w:rsidRPr="002918F0">
        <w:t xml:space="preserve"> tržní situace již natolik stabilizovala, aby bylo možné nové jaderné zdroje stavět i bez jakýchkoliv státních garancí a ČEZ by postavil nové zdroje na komerční bázi.</w:t>
      </w:r>
    </w:p>
    <w:p w:rsidR="00C43F39" w:rsidRPr="002918F0" w:rsidRDefault="0027697C" w:rsidP="0044189F">
      <w:pPr>
        <w:pStyle w:val="Odstavecseseznamem"/>
        <w:numPr>
          <w:ilvl w:val="0"/>
          <w:numId w:val="95"/>
        </w:numPr>
        <w:spacing w:before="240"/>
        <w:jc w:val="both"/>
      </w:pPr>
      <w:r>
        <w:t>T</w:t>
      </w:r>
      <w:r w:rsidR="00E06238" w:rsidRPr="002918F0">
        <w:t xml:space="preserve">ržní deformace přetrvávají a nové jaderné zdroje není možné bez poskytnutí jakýchkoliv garancí stavět. V tomto případě by měl stát rozhodnout </w:t>
      </w:r>
      <w:r w:rsidR="001F4DB3">
        <w:t xml:space="preserve">zda, a </w:t>
      </w:r>
      <w:r w:rsidR="00E06238" w:rsidRPr="002918F0">
        <w:t xml:space="preserve">jakou formu garancí </w:t>
      </w:r>
      <w:r w:rsidR="001F4DB3">
        <w:t>investorovi</w:t>
      </w:r>
      <w:r w:rsidR="00E06238" w:rsidRPr="002918F0">
        <w:t xml:space="preserve"> poskytne.</w:t>
      </w:r>
      <w:r w:rsidR="00432FE1">
        <w:rPr>
          <w:rStyle w:val="Znakapoznpodarou"/>
        </w:rPr>
        <w:footnoteReference w:id="14"/>
      </w:r>
    </w:p>
    <w:p w:rsidR="001F4DB3" w:rsidRDefault="001F4DB3" w:rsidP="002E4520">
      <w:pPr>
        <w:spacing w:before="240"/>
        <w:jc w:val="both"/>
      </w:pPr>
      <w:r w:rsidRPr="00B7257A">
        <w:lastRenderedPageBreak/>
        <w:t xml:space="preserve">V případě garancí investorovi za finanční návratnost projektu </w:t>
      </w:r>
      <w:r>
        <w:t xml:space="preserve">je v některých zemích diskutováno </w:t>
      </w:r>
      <w:r w:rsidRPr="00B7257A">
        <w:t xml:space="preserve">využití </w:t>
      </w:r>
      <w:r>
        <w:t xml:space="preserve">tzv. </w:t>
      </w:r>
      <w:r w:rsidRPr="007505FC">
        <w:t xml:space="preserve">kompenzačního mechanismu </w:t>
      </w:r>
      <w:r w:rsidRPr="006352C1">
        <w:t>„</w:t>
      </w:r>
      <w:proofErr w:type="spellStart"/>
      <w:r w:rsidRPr="00AE6D9D">
        <w:t>Contract</w:t>
      </w:r>
      <w:proofErr w:type="spellEnd"/>
      <w:r w:rsidRPr="00AE6D9D">
        <w:t xml:space="preserve"> </w:t>
      </w:r>
      <w:proofErr w:type="spellStart"/>
      <w:r w:rsidRPr="00AE6D9D">
        <w:t>for</w:t>
      </w:r>
      <w:proofErr w:type="spellEnd"/>
      <w:r w:rsidRPr="00AE6D9D">
        <w:t xml:space="preserve"> </w:t>
      </w:r>
      <w:proofErr w:type="spellStart"/>
      <w:r w:rsidRPr="00AE6D9D">
        <w:t>difference</w:t>
      </w:r>
      <w:proofErr w:type="spellEnd"/>
      <w:r w:rsidRPr="00AE6D9D">
        <w:t>“</w:t>
      </w:r>
      <w:r>
        <w:t xml:space="preserve"> (</w:t>
      </w:r>
      <w:proofErr w:type="spellStart"/>
      <w:r>
        <w:t>CfD</w:t>
      </w:r>
      <w:proofErr w:type="spellEnd"/>
      <w:r>
        <w:t>)</w:t>
      </w:r>
      <w:r w:rsidRPr="00B7257A">
        <w:t xml:space="preserve">. </w:t>
      </w:r>
      <w:r w:rsidRPr="002F6AE6">
        <w:t>Tento mechanismus</w:t>
      </w:r>
      <w:r w:rsidRPr="002F6AE6">
        <w:rPr>
          <w:color w:val="000000"/>
        </w:rPr>
        <w:t xml:space="preserve"> </w:t>
      </w:r>
      <w:r>
        <w:rPr>
          <w:color w:val="000000"/>
        </w:rPr>
        <w:t>stanoví</w:t>
      </w:r>
      <w:r w:rsidRPr="002F6AE6">
        <w:rPr>
          <w:color w:val="000000"/>
        </w:rPr>
        <w:t xml:space="preserve"> fixní cenu elektřiny, eskalovanou cenovými indexy a odchylky od referenční ceny na trhu by byly vyrovnávány zvýšením/snížením ceny elektřiny pro odběratele. Předmětný mechanismus tedy může mít přímý dopad na spotřebitele v závislosti na vývoji cen elektřiny. Zároveň může mít dopad i na státní rozpočet v případě, že by ceny energie pro spotřebitele byly neúnosné a stát by vzal část závazku na sebe. </w:t>
      </w:r>
      <w:r w:rsidRPr="00E80B94">
        <w:t>J</w:t>
      </w:r>
      <w:r w:rsidRPr="00B7257A">
        <w:t xml:space="preserve">edná o formu podpory, která již získala souhlasné stanovisko ze strany Evropské komise (v případě jaderné elektrárny </w:t>
      </w:r>
      <w:proofErr w:type="spellStart"/>
      <w:r w:rsidRPr="00B7257A">
        <w:t>Hinkley</w:t>
      </w:r>
      <w:proofErr w:type="spellEnd"/>
      <w:r w:rsidRPr="00B7257A">
        <w:t xml:space="preserve"> Point C) a je pro řadu nových jaderných projektů svým způsobem precedentní</w:t>
      </w:r>
      <w:r w:rsidRPr="007505FC">
        <w:t>.</w:t>
      </w:r>
      <w:r w:rsidRPr="006352C1">
        <w:t xml:space="preserve"> D</w:t>
      </w:r>
      <w:r w:rsidRPr="00AE6D9D">
        <w:t>oplňkem k</w:t>
      </w:r>
      <w:r w:rsidRPr="00D4270A">
        <w:t> </w:t>
      </w:r>
      <w:r w:rsidRPr="00C72E88">
        <w:t xml:space="preserve">mechanismu </w:t>
      </w:r>
      <w:proofErr w:type="spellStart"/>
      <w:r w:rsidRPr="00E80B94">
        <w:t>CfD</w:t>
      </w:r>
      <w:proofErr w:type="spellEnd"/>
      <w:r w:rsidRPr="00E80B94">
        <w:t xml:space="preserve"> mohou být garance za dluh, jelikož umožní zajistit větší objem dluhového financování a tím mohou snížit požadovanou návratnosti investora. Při poskytnutí garancí obdrží stát poplatek do státního rozpočtu ve smyslu zákona č. 218/2000 Sb., o</w:t>
      </w:r>
      <w:r w:rsidR="00B71544">
        <w:t> </w:t>
      </w:r>
      <w:r w:rsidRPr="00E80B94">
        <w:t>rozpočtových pravidlech a o změně některých souvisejících zákonů (rozpočtová pravidla).</w:t>
      </w:r>
    </w:p>
    <w:p w:rsidR="00C43F39" w:rsidRPr="002918F0" w:rsidRDefault="00C43F39" w:rsidP="002E4520">
      <w:pPr>
        <w:spacing w:before="240"/>
        <w:jc w:val="both"/>
        <w:rPr>
          <w:b/>
        </w:rPr>
      </w:pPr>
      <w:r w:rsidRPr="002918F0">
        <w:t>Zároveň se jako strategicky výhodné</w:t>
      </w:r>
      <w:r w:rsidR="008C117D" w:rsidRPr="002918F0">
        <w:t xml:space="preserve"> </w:t>
      </w:r>
      <w:r w:rsidRPr="002918F0">
        <w:t xml:space="preserve">(a ve druhé a třetí variantě dokonce jako nutné) z pohledu budoucího investičního modelu jeví </w:t>
      </w:r>
      <w:r w:rsidRPr="002918F0">
        <w:rPr>
          <w:b/>
        </w:rPr>
        <w:t xml:space="preserve">realizovat projekt výstavby NJZ v rámci speciální společnosti </w:t>
      </w:r>
      <w:proofErr w:type="spellStart"/>
      <w:r w:rsidR="005B12EA">
        <w:rPr>
          <w:b/>
        </w:rPr>
        <w:t>Special</w:t>
      </w:r>
      <w:proofErr w:type="spellEnd"/>
      <w:r w:rsidR="005B12EA">
        <w:rPr>
          <w:b/>
        </w:rPr>
        <w:t xml:space="preserve"> </w:t>
      </w:r>
      <w:proofErr w:type="spellStart"/>
      <w:r w:rsidR="005B12EA">
        <w:rPr>
          <w:b/>
        </w:rPr>
        <w:t>Purpose</w:t>
      </w:r>
      <w:proofErr w:type="spellEnd"/>
      <w:r w:rsidR="005B12EA">
        <w:rPr>
          <w:b/>
        </w:rPr>
        <w:t xml:space="preserve"> </w:t>
      </w:r>
      <w:proofErr w:type="spellStart"/>
      <w:r w:rsidR="005B12EA">
        <w:rPr>
          <w:b/>
        </w:rPr>
        <w:t>Vehicle</w:t>
      </w:r>
      <w:proofErr w:type="spellEnd"/>
      <w:r w:rsidR="005B12EA">
        <w:rPr>
          <w:b/>
        </w:rPr>
        <w:t xml:space="preserve"> </w:t>
      </w:r>
      <w:r w:rsidRPr="002918F0">
        <w:rPr>
          <w:b/>
        </w:rPr>
        <w:t xml:space="preserve">(SPV), </w:t>
      </w:r>
      <w:r w:rsidRPr="002918F0">
        <w:t>do níž budou vyvedena všechny relevantní aktiva pro dostavbu jaderných bloků na obou stávajících lokalitách.</w:t>
      </w:r>
      <w:r w:rsidR="00AD0B48" w:rsidRPr="002918F0">
        <w:t xml:space="preserve"> Výhodou toh</w:t>
      </w:r>
      <w:r w:rsidR="002918F0" w:rsidRPr="002918F0">
        <w:t>ot</w:t>
      </w:r>
      <w:r w:rsidR="00AD0B48" w:rsidRPr="002918F0">
        <w:t>o postupu je zejména:</w:t>
      </w:r>
    </w:p>
    <w:p w:rsidR="004336E3" w:rsidRPr="002918F0" w:rsidRDefault="004336E3" w:rsidP="00D22FE5">
      <w:pPr>
        <w:pStyle w:val="Odstavecseseznamem"/>
        <w:numPr>
          <w:ilvl w:val="0"/>
          <w:numId w:val="148"/>
        </w:numPr>
        <w:spacing w:before="240"/>
        <w:ind w:left="709"/>
        <w:jc w:val="both"/>
      </w:pPr>
      <w:r w:rsidRPr="002918F0">
        <w:t xml:space="preserve">Velká flexibilita z hlediska budoucí </w:t>
      </w:r>
      <w:r w:rsidR="002918F0" w:rsidRPr="002918F0">
        <w:t xml:space="preserve">možné </w:t>
      </w:r>
      <w:r w:rsidRPr="002918F0">
        <w:t>změny investorského modelu (umožnění kapitálového vstupu státu</w:t>
      </w:r>
      <w:r w:rsidR="001E0EFA" w:rsidRPr="002918F0">
        <w:t>,</w:t>
      </w:r>
      <w:r w:rsidRPr="002918F0">
        <w:t xml:space="preserve"> strategického investora</w:t>
      </w:r>
      <w:r w:rsidR="001E0EFA" w:rsidRPr="002918F0">
        <w:t xml:space="preserve"> nebo dodavatele technologie</w:t>
      </w:r>
      <w:r w:rsidRPr="002918F0">
        <w:t>)</w:t>
      </w:r>
    </w:p>
    <w:p w:rsidR="004336E3" w:rsidRPr="002918F0" w:rsidRDefault="004336E3" w:rsidP="00D22FE5">
      <w:pPr>
        <w:pStyle w:val="Odstavecseseznamem"/>
        <w:numPr>
          <w:ilvl w:val="0"/>
          <w:numId w:val="148"/>
        </w:numPr>
        <w:spacing w:before="240"/>
        <w:ind w:left="709"/>
        <w:jc w:val="both"/>
      </w:pPr>
      <w:r w:rsidRPr="002918F0">
        <w:t xml:space="preserve">Rozšíření možností financování projektu </w:t>
      </w:r>
      <w:r w:rsidR="001E0EFA" w:rsidRPr="002918F0">
        <w:t>(o možnost aplikace nást</w:t>
      </w:r>
      <w:r w:rsidR="009265F2" w:rsidRPr="002918F0">
        <w:t>r</w:t>
      </w:r>
      <w:r w:rsidR="001E0EFA" w:rsidRPr="002918F0">
        <w:t>ojů projektového financování)</w:t>
      </w:r>
    </w:p>
    <w:p w:rsidR="001E0EFA" w:rsidRPr="002918F0" w:rsidRDefault="001E0EFA" w:rsidP="00D22FE5">
      <w:pPr>
        <w:pStyle w:val="Odstavecseseznamem"/>
        <w:numPr>
          <w:ilvl w:val="0"/>
          <w:numId w:val="148"/>
        </w:numPr>
        <w:spacing w:before="240"/>
        <w:ind w:left="709"/>
        <w:jc w:val="both"/>
      </w:pPr>
      <w:r w:rsidRPr="002918F0">
        <w:t>Transparentní oddělení nákladů na výstavbu nových bloků od provozu stávajících výrobních zdrojů</w:t>
      </w:r>
    </w:p>
    <w:p w:rsidR="009E13DB" w:rsidRDefault="009E13DB" w:rsidP="002E4520">
      <w:pPr>
        <w:pStyle w:val="Nadpis2"/>
      </w:pPr>
      <w:bookmarkStart w:id="222" w:name="_Toc420056030"/>
      <w:r>
        <w:t>Ekonomické a termínové aspekty výstavby NJZ</w:t>
      </w:r>
      <w:bookmarkEnd w:id="222"/>
    </w:p>
    <w:p w:rsidR="009E13DB" w:rsidRPr="00E149BE" w:rsidRDefault="009E13DB" w:rsidP="009E13DB">
      <w:pPr>
        <w:pStyle w:val="Nadpis3"/>
      </w:pPr>
      <w:bookmarkStart w:id="223" w:name="_Toc407035617"/>
      <w:bookmarkStart w:id="224" w:name="_Toc420056031"/>
      <w:r>
        <w:t xml:space="preserve">Obecné </w:t>
      </w:r>
      <w:r w:rsidR="001F4DB3">
        <w:t xml:space="preserve">modelové </w:t>
      </w:r>
      <w:r>
        <w:t>předpoklady pro analýzu</w:t>
      </w:r>
      <w:bookmarkEnd w:id="223"/>
      <w:bookmarkEnd w:id="224"/>
    </w:p>
    <w:p w:rsidR="009E13DB" w:rsidRPr="008434AC" w:rsidRDefault="009E13DB" w:rsidP="009E13DB">
      <w:pPr>
        <w:jc w:val="both"/>
      </w:pPr>
      <w:r w:rsidRPr="008434AC">
        <w:t xml:space="preserve">Pro posuzování jednotlivých variant jsou obecně klíčové vstupy – investiční a provozní náklady zdroje a vývoj tržní ceny elektrické energie. Konkrétně pro </w:t>
      </w:r>
      <w:proofErr w:type="spellStart"/>
      <w:r w:rsidRPr="008434AC">
        <w:t>CfD</w:t>
      </w:r>
      <w:proofErr w:type="spellEnd"/>
      <w:r w:rsidRPr="008434AC">
        <w:t xml:space="preserve"> do úvah vstupují </w:t>
      </w:r>
      <w:r>
        <w:t xml:space="preserve">především tyto </w:t>
      </w:r>
      <w:r w:rsidRPr="008434AC">
        <w:t>veličiny:</w:t>
      </w:r>
    </w:p>
    <w:p w:rsidR="009E13DB" w:rsidRPr="008434AC" w:rsidRDefault="009E13DB" w:rsidP="0044189F">
      <w:pPr>
        <w:pStyle w:val="Odstavecseseznamem"/>
        <w:numPr>
          <w:ilvl w:val="0"/>
          <w:numId w:val="18"/>
        </w:numPr>
        <w:spacing w:before="240"/>
        <w:jc w:val="both"/>
      </w:pPr>
      <w:r w:rsidRPr="008434AC">
        <w:t>Odhad celkových nákladů na investici</w:t>
      </w:r>
      <w:r w:rsidR="0042190A">
        <w:t>.</w:t>
      </w:r>
    </w:p>
    <w:p w:rsidR="009E13DB" w:rsidRPr="008434AC" w:rsidRDefault="009E13DB" w:rsidP="0044189F">
      <w:pPr>
        <w:pStyle w:val="Odstavecseseznamem"/>
        <w:numPr>
          <w:ilvl w:val="0"/>
          <w:numId w:val="18"/>
        </w:numPr>
        <w:spacing w:before="240"/>
        <w:jc w:val="both"/>
      </w:pPr>
      <w:r w:rsidRPr="008434AC">
        <w:t>Míra požadované návratnosti ze strany investora</w:t>
      </w:r>
      <w:r w:rsidR="0042190A">
        <w:t>.</w:t>
      </w:r>
    </w:p>
    <w:p w:rsidR="009E13DB" w:rsidRPr="008434AC" w:rsidRDefault="009E13DB" w:rsidP="0044189F">
      <w:pPr>
        <w:pStyle w:val="Odstavecseseznamem"/>
        <w:numPr>
          <w:ilvl w:val="0"/>
          <w:numId w:val="18"/>
        </w:numPr>
        <w:spacing w:before="240"/>
        <w:jc w:val="both"/>
      </w:pPr>
      <w:r w:rsidRPr="008434AC">
        <w:t xml:space="preserve">Délka časového období, po které je poskytována garance formou </w:t>
      </w:r>
      <w:proofErr w:type="spellStart"/>
      <w:r w:rsidRPr="008434AC">
        <w:t>CfD</w:t>
      </w:r>
      <w:proofErr w:type="spellEnd"/>
      <w:r w:rsidRPr="008434AC">
        <w:t xml:space="preserve"> – analýza používá </w:t>
      </w:r>
      <w:r>
        <w:t>3</w:t>
      </w:r>
      <w:r w:rsidRPr="008434AC">
        <w:t xml:space="preserve"> varianty:</w:t>
      </w:r>
    </w:p>
    <w:p w:rsidR="009E13DB" w:rsidRDefault="009E13DB" w:rsidP="0044189F">
      <w:pPr>
        <w:pStyle w:val="Odstavecseseznamem"/>
        <w:numPr>
          <w:ilvl w:val="1"/>
          <w:numId w:val="18"/>
        </w:numPr>
        <w:spacing w:before="240"/>
        <w:jc w:val="both"/>
      </w:pPr>
      <w:r>
        <w:t>60 let, odpovídající plánovanému provozu zdroje,</w:t>
      </w:r>
    </w:p>
    <w:p w:rsidR="009E13DB" w:rsidRPr="008434AC" w:rsidRDefault="009E13DB" w:rsidP="0044189F">
      <w:pPr>
        <w:pStyle w:val="Odstavecseseznamem"/>
        <w:numPr>
          <w:ilvl w:val="1"/>
          <w:numId w:val="18"/>
        </w:numPr>
        <w:spacing w:before="240"/>
        <w:jc w:val="both"/>
      </w:pPr>
      <w:r w:rsidRPr="008434AC">
        <w:t xml:space="preserve">35 let, což je model, který úspěšně notifikovala </w:t>
      </w:r>
      <w:r w:rsidR="00D466E0">
        <w:t xml:space="preserve">Velká </w:t>
      </w:r>
      <w:proofErr w:type="spellStart"/>
      <w:r w:rsidR="00D466E0">
        <w:t>Británie</w:t>
      </w:r>
      <w:r w:rsidRPr="008434AC">
        <w:t>a</w:t>
      </w:r>
      <w:proofErr w:type="spellEnd"/>
    </w:p>
    <w:p w:rsidR="009E13DB" w:rsidRPr="008434AC" w:rsidRDefault="009E13DB" w:rsidP="0044189F">
      <w:pPr>
        <w:pStyle w:val="Odstavecseseznamem"/>
        <w:numPr>
          <w:ilvl w:val="1"/>
          <w:numId w:val="18"/>
        </w:numPr>
        <w:spacing w:before="240"/>
        <w:jc w:val="both"/>
      </w:pPr>
      <w:r w:rsidRPr="008434AC">
        <w:t xml:space="preserve">15 let jako </w:t>
      </w:r>
      <w:r w:rsidR="00E73320">
        <w:t>modelový scénář</w:t>
      </w:r>
      <w:r w:rsidR="0042190A">
        <w:t>.</w:t>
      </w:r>
      <w:r w:rsidR="00E73320">
        <w:rPr>
          <w:rStyle w:val="Znakapoznpodarou"/>
        </w:rPr>
        <w:footnoteReference w:id="15"/>
      </w:r>
    </w:p>
    <w:p w:rsidR="009E13DB" w:rsidRPr="008434AC" w:rsidRDefault="009E13DB" w:rsidP="0044189F">
      <w:pPr>
        <w:pStyle w:val="Odstavecseseznamem"/>
        <w:numPr>
          <w:ilvl w:val="0"/>
          <w:numId w:val="18"/>
        </w:numPr>
        <w:spacing w:before="240"/>
        <w:jc w:val="both"/>
      </w:pPr>
      <w:r w:rsidRPr="008434AC">
        <w:t>Eskalační faktor – analýza je zpracována v reálných cenách roku 2015. Eskalační faktory pro přepočet pro jednotlivé roky jsou: 2,5 % (201</w:t>
      </w:r>
      <w:r w:rsidR="00D22FE5">
        <w:t xml:space="preserve">2), 1,5 % (2013), 1,5% (2014). </w:t>
      </w:r>
      <w:r w:rsidRPr="008434AC">
        <w:t>Roky 2012 a 2013 vychází ze statistik, rok 2014 je expertním odhadem. Pro roky 2015 a dále uvažujeme s eskalací 2</w:t>
      </w:r>
      <w:r w:rsidR="00D22FE5">
        <w:t> </w:t>
      </w:r>
      <w:r w:rsidRPr="008434AC">
        <w:rPr>
          <w:lang w:val="en-US"/>
        </w:rPr>
        <w:t>%.</w:t>
      </w:r>
    </w:p>
    <w:p w:rsidR="009E13DB" w:rsidRPr="008434AC" w:rsidRDefault="009E13DB" w:rsidP="009E13DB">
      <w:pPr>
        <w:jc w:val="both"/>
      </w:pPr>
      <w:r w:rsidRPr="008434AC">
        <w:lastRenderedPageBreak/>
        <w:t xml:space="preserve">Analýza je předkládána na příkladu výstavby </w:t>
      </w:r>
      <w:r w:rsidRPr="008434AC">
        <w:rPr>
          <w:b/>
        </w:rPr>
        <w:t>jednoho bloku o celkovém instalovaném výkonu 1 200 MW</w:t>
      </w:r>
      <w:r w:rsidRPr="008434AC">
        <w:t xml:space="preserve"> s tím, že pro jiné velikosti zdroje dle instalovaného výkonu uvažujeme zachování měrných investičních nákladů i obdobného rozložení v čase. Např. pro blok 1700 MW by uvedené náklady bylo nutné navýšit o cca 40 % (jedná se jen o hrubé přiblížení, neboť náklady na přípravu budou obdobné pro jakoukoliv velikost bloku).</w:t>
      </w:r>
      <w:r w:rsidRPr="008434AC">
        <w:rPr>
          <w:b/>
        </w:rPr>
        <w:t xml:space="preserve"> Při výstavbě dvou bloků na jedné lokalitě oproti výstavbě jednoho bloku je možné uvažovat o 10-20 % snížen</w:t>
      </w:r>
      <w:r w:rsidR="0042190A">
        <w:rPr>
          <w:b/>
        </w:rPr>
        <w:t>í měrných investičních nákladů.</w:t>
      </w:r>
    </w:p>
    <w:p w:rsidR="009E13DB" w:rsidRPr="008434AC" w:rsidRDefault="009E13DB" w:rsidP="009E13DB">
      <w:pPr>
        <w:jc w:val="both"/>
      </w:pPr>
      <w:r w:rsidRPr="008434AC">
        <w:t xml:space="preserve">V této analýze jsou </w:t>
      </w:r>
      <w:r w:rsidRPr="008434AC">
        <w:rPr>
          <w:b/>
        </w:rPr>
        <w:t>investiční náklady</w:t>
      </w:r>
      <w:r w:rsidRPr="008434AC">
        <w:t xml:space="preserve"> zdroje odvozeny ze studie </w:t>
      </w:r>
      <w:proofErr w:type="spellStart"/>
      <w:r w:rsidRPr="008434AC">
        <w:t>Synthesis</w:t>
      </w:r>
      <w:proofErr w:type="spellEnd"/>
      <w:r w:rsidRPr="008434AC">
        <w:t xml:space="preserve"> on </w:t>
      </w:r>
      <w:proofErr w:type="spellStart"/>
      <w:r w:rsidRPr="008434AC">
        <w:t>the</w:t>
      </w:r>
      <w:proofErr w:type="spellEnd"/>
      <w:r w:rsidRPr="008434AC">
        <w:t xml:space="preserve"> </w:t>
      </w:r>
      <w:proofErr w:type="spellStart"/>
      <w:r w:rsidRPr="008434AC">
        <w:t>Economics</w:t>
      </w:r>
      <w:proofErr w:type="spellEnd"/>
      <w:r w:rsidRPr="008434AC">
        <w:t xml:space="preserve"> </w:t>
      </w:r>
      <w:proofErr w:type="spellStart"/>
      <w:r w:rsidRPr="008434AC">
        <w:t>of</w:t>
      </w:r>
      <w:proofErr w:type="spellEnd"/>
      <w:r w:rsidRPr="008434AC">
        <w:t xml:space="preserve"> </w:t>
      </w:r>
      <w:proofErr w:type="spellStart"/>
      <w:r w:rsidRPr="008434AC">
        <w:t>Nuclear</w:t>
      </w:r>
      <w:proofErr w:type="spellEnd"/>
      <w:r w:rsidRPr="008434AC">
        <w:t xml:space="preserve"> </w:t>
      </w:r>
      <w:proofErr w:type="spellStart"/>
      <w:r w:rsidRPr="008434AC">
        <w:t>Energy</w:t>
      </w:r>
      <w:proofErr w:type="spellEnd"/>
      <w:r w:rsidRPr="008434AC">
        <w:t xml:space="preserve"> (Study </w:t>
      </w:r>
      <w:proofErr w:type="spellStart"/>
      <w:r w:rsidRPr="008434AC">
        <w:t>for</w:t>
      </w:r>
      <w:proofErr w:type="spellEnd"/>
      <w:r w:rsidRPr="008434AC">
        <w:t xml:space="preserve"> </w:t>
      </w:r>
      <w:proofErr w:type="spellStart"/>
      <w:r w:rsidRPr="008434AC">
        <w:t>the</w:t>
      </w:r>
      <w:proofErr w:type="spellEnd"/>
      <w:r w:rsidRPr="008434AC">
        <w:t xml:space="preserve"> </w:t>
      </w:r>
      <w:proofErr w:type="spellStart"/>
      <w:r w:rsidRPr="008434AC">
        <w:t>European</w:t>
      </w:r>
      <w:proofErr w:type="spellEnd"/>
      <w:r w:rsidRPr="008434AC">
        <w:t xml:space="preserve"> </w:t>
      </w:r>
      <w:proofErr w:type="spellStart"/>
      <w:r w:rsidRPr="008434AC">
        <w:t>Commission</w:t>
      </w:r>
      <w:proofErr w:type="spellEnd"/>
      <w:r w:rsidRPr="008434AC">
        <w:t>, DG ENERGY, listopad 2013), kde celkov</w:t>
      </w:r>
      <w:r w:rsidR="00225A6A">
        <w:t>é kapitálové náklady</w:t>
      </w:r>
      <w:r w:rsidRPr="008434AC">
        <w:t xml:space="preserve"> </w:t>
      </w:r>
      <w:r w:rsidR="00225A6A">
        <w:t>(</w:t>
      </w:r>
      <w:r w:rsidRPr="008434AC">
        <w:t>CAPEX</w:t>
      </w:r>
      <w:r w:rsidR="00225A6A">
        <w:t>)</w:t>
      </w:r>
      <w:r w:rsidRPr="008434AC">
        <w:t xml:space="preserve"> na základě aplikovaného eskalačního faktoru (pro přepočet nákladů </w:t>
      </w:r>
      <w:r>
        <w:t xml:space="preserve">uvedených ve </w:t>
      </w:r>
      <w:r w:rsidRPr="008434AC">
        <w:t>studi</w:t>
      </w:r>
      <w:r>
        <w:t>i</w:t>
      </w:r>
      <w:r w:rsidRPr="008434AC">
        <w:t xml:space="preserve"> do cen roku 2015) vychází na </w:t>
      </w:r>
      <w:r w:rsidRPr="008434AC">
        <w:rPr>
          <w:b/>
        </w:rPr>
        <w:t>4 500 EUR/kW při výstavbě jednoho bloku</w:t>
      </w:r>
      <w:r w:rsidRPr="008434AC">
        <w:t>. Postupné nabíhání investičníc</w:t>
      </w:r>
      <w:r w:rsidR="002918F0">
        <w:t xml:space="preserve">h nákladů znázorňuje </w:t>
      </w:r>
      <w:r w:rsidR="00C223D0">
        <w:fldChar w:fldCharType="begin"/>
      </w:r>
      <w:r w:rsidR="00C223D0">
        <w:instrText xml:space="preserve"> REF _Ref408846206 \h </w:instrText>
      </w:r>
      <w:r w:rsidR="00C223D0">
        <w:fldChar w:fldCharType="separate"/>
      </w:r>
      <w:r w:rsidR="007B491F" w:rsidRPr="006A054D">
        <w:t xml:space="preserve">Graf č. </w:t>
      </w:r>
      <w:r w:rsidR="007B491F">
        <w:rPr>
          <w:noProof/>
        </w:rPr>
        <w:t>3</w:t>
      </w:r>
      <w:r w:rsidR="00C223D0">
        <w:fldChar w:fldCharType="end"/>
      </w:r>
      <w:r w:rsidRPr="008434AC">
        <w:t>, kdy rokem 1 je v ideálním případě – s ohledem na energetickou bezpečnost – již rok 2015.</w:t>
      </w:r>
    </w:p>
    <w:p w:rsidR="009E13DB" w:rsidRPr="006A054D" w:rsidRDefault="009E13DB" w:rsidP="009E13DB">
      <w:pPr>
        <w:pStyle w:val="Titulek"/>
        <w:keepNext/>
        <w:jc w:val="both"/>
        <w:rPr>
          <w:color w:val="auto"/>
          <w:sz w:val="22"/>
          <w:szCs w:val="22"/>
        </w:rPr>
      </w:pPr>
      <w:bookmarkStart w:id="225" w:name="_Ref408846206"/>
      <w:bookmarkStart w:id="226" w:name="_Toc420058302"/>
      <w:r w:rsidRPr="006A054D">
        <w:rPr>
          <w:color w:val="auto"/>
          <w:sz w:val="22"/>
          <w:szCs w:val="22"/>
        </w:rPr>
        <w:t xml:space="preserve">Graf č. </w:t>
      </w:r>
      <w:r w:rsidRPr="006A054D">
        <w:rPr>
          <w:color w:val="auto"/>
          <w:sz w:val="22"/>
          <w:szCs w:val="22"/>
        </w:rPr>
        <w:fldChar w:fldCharType="begin"/>
      </w:r>
      <w:r w:rsidRPr="006A054D">
        <w:rPr>
          <w:color w:val="auto"/>
          <w:sz w:val="22"/>
          <w:szCs w:val="22"/>
        </w:rPr>
        <w:instrText xml:space="preserve"> SEQ Graf_č. \* ARABIC </w:instrText>
      </w:r>
      <w:r w:rsidRPr="006A054D">
        <w:rPr>
          <w:color w:val="auto"/>
          <w:sz w:val="22"/>
          <w:szCs w:val="22"/>
        </w:rPr>
        <w:fldChar w:fldCharType="separate"/>
      </w:r>
      <w:r w:rsidR="00471F02">
        <w:rPr>
          <w:noProof/>
          <w:color w:val="auto"/>
          <w:sz w:val="22"/>
          <w:szCs w:val="22"/>
        </w:rPr>
        <w:t>4</w:t>
      </w:r>
      <w:r w:rsidRPr="006A054D">
        <w:rPr>
          <w:color w:val="auto"/>
          <w:sz w:val="22"/>
          <w:szCs w:val="22"/>
        </w:rPr>
        <w:fldChar w:fldCharType="end"/>
      </w:r>
      <w:bookmarkEnd w:id="225"/>
      <w:r w:rsidRPr="006A054D">
        <w:rPr>
          <w:color w:val="auto"/>
          <w:sz w:val="22"/>
          <w:szCs w:val="22"/>
        </w:rPr>
        <w:t xml:space="preserve">: </w:t>
      </w:r>
      <w:r w:rsidRPr="006A054D">
        <w:rPr>
          <w:b w:val="0"/>
          <w:i/>
          <w:color w:val="auto"/>
          <w:sz w:val="22"/>
          <w:szCs w:val="22"/>
        </w:rPr>
        <w:t>Rozpad CAPEX na výstavbu JE v letech</w:t>
      </w:r>
      <w:bookmarkEnd w:id="226"/>
    </w:p>
    <w:p w:rsidR="009E13DB" w:rsidRDefault="009E13DB" w:rsidP="005C3C75">
      <w:pPr>
        <w:spacing w:after="0"/>
        <w:jc w:val="both"/>
      </w:pPr>
      <w:r w:rsidRPr="008434AC">
        <w:rPr>
          <w:noProof/>
          <w:lang w:eastAsia="cs-CZ"/>
        </w:rPr>
        <w:drawing>
          <wp:inline distT="0" distB="0" distL="0" distR="0" wp14:anchorId="441A64CF" wp14:editId="439A44CC">
            <wp:extent cx="5759450" cy="3780000"/>
            <wp:effectExtent l="0" t="0" r="12700" b="1143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3C75" w:rsidRPr="00471F02" w:rsidRDefault="005C3C75" w:rsidP="005C3C75">
      <w:pPr>
        <w:jc w:val="both"/>
        <w:rPr>
          <w:i/>
          <w:sz w:val="18"/>
        </w:rPr>
      </w:pPr>
      <w:r w:rsidRPr="00471F02">
        <w:rPr>
          <w:i/>
          <w:sz w:val="18"/>
        </w:rPr>
        <w:t xml:space="preserve">Rozpad investičních nákladů je stanoven na základě expertního odhadu MPO s využitím informací společnosti ČEZ, a.s. </w:t>
      </w:r>
    </w:p>
    <w:p w:rsidR="001B3793" w:rsidRDefault="009E13DB" w:rsidP="009E13DB">
      <w:pPr>
        <w:jc w:val="both"/>
      </w:pPr>
      <w:r w:rsidRPr="008434AC">
        <w:t xml:space="preserve">Konkrétní rozložení nákladů v čase, jakož i celý proces dostavby </w:t>
      </w:r>
      <w:proofErr w:type="gramStart"/>
      <w:r w:rsidRPr="008434AC">
        <w:t>JE</w:t>
      </w:r>
      <w:proofErr w:type="gramEnd"/>
      <w:r w:rsidRPr="008434AC">
        <w:t xml:space="preserve"> závisí od samotného harmonogramu výstavby nového zdroje, který je doprovázen celou řadou rizik. Ty lze do určité míry cílenými akcemi státu, investora i dodavatelů zmírnit. Orientační harmonogram výstavby nového zdroje v deterministické variantě s maximálním ošetřením rizik, i</w:t>
      </w:r>
      <w:r w:rsidR="00C223D0">
        <w:t> </w:t>
      </w:r>
      <w:r w:rsidRPr="008434AC">
        <w:t>delší variantě reflektující pravděpodobnostní naplnění rizik, znázorňuje následující tabulka:</w:t>
      </w:r>
    </w:p>
    <w:p w:rsidR="001B3793" w:rsidRDefault="001B3793">
      <w:r>
        <w:br w:type="page"/>
      </w:r>
    </w:p>
    <w:p w:rsidR="00AA7720" w:rsidRPr="00C92EE7" w:rsidRDefault="00AA7720" w:rsidP="00AA7720">
      <w:pPr>
        <w:pStyle w:val="Titulek"/>
        <w:keepNext/>
      </w:pPr>
      <w:bookmarkStart w:id="227" w:name="_Toc420058319"/>
      <w:r w:rsidRPr="00AA7720">
        <w:rPr>
          <w:color w:val="auto"/>
          <w:sz w:val="22"/>
          <w:szCs w:val="22"/>
        </w:rPr>
        <w:lastRenderedPageBreak/>
        <w:t xml:space="preserve">Tabulka č. </w:t>
      </w:r>
      <w:r w:rsidRPr="00AA7720">
        <w:rPr>
          <w:color w:val="auto"/>
          <w:sz w:val="22"/>
          <w:szCs w:val="22"/>
        </w:rPr>
        <w:fldChar w:fldCharType="begin"/>
      </w:r>
      <w:r w:rsidRPr="00AA7720">
        <w:rPr>
          <w:color w:val="auto"/>
          <w:sz w:val="22"/>
          <w:szCs w:val="22"/>
        </w:rPr>
        <w:instrText xml:space="preserve"> SEQ Tabulka_č. \* ARABIC </w:instrText>
      </w:r>
      <w:r w:rsidRPr="00AA7720">
        <w:rPr>
          <w:color w:val="auto"/>
          <w:sz w:val="22"/>
          <w:szCs w:val="22"/>
        </w:rPr>
        <w:fldChar w:fldCharType="separate"/>
      </w:r>
      <w:r w:rsidR="00FE1E1A">
        <w:rPr>
          <w:noProof/>
          <w:color w:val="auto"/>
          <w:sz w:val="22"/>
          <w:szCs w:val="22"/>
        </w:rPr>
        <w:t>15</w:t>
      </w:r>
      <w:r w:rsidRPr="00AA7720">
        <w:rPr>
          <w:color w:val="auto"/>
          <w:sz w:val="22"/>
          <w:szCs w:val="22"/>
        </w:rPr>
        <w:fldChar w:fldCharType="end"/>
      </w:r>
      <w:r w:rsidRPr="00AA7720">
        <w:rPr>
          <w:color w:val="auto"/>
          <w:sz w:val="22"/>
          <w:szCs w:val="22"/>
        </w:rPr>
        <w:t>:</w:t>
      </w:r>
      <w:r>
        <w:t xml:space="preserve"> </w:t>
      </w:r>
      <w:r w:rsidRPr="00AA7720">
        <w:rPr>
          <w:b w:val="0"/>
          <w:i/>
          <w:color w:val="auto"/>
          <w:sz w:val="22"/>
          <w:szCs w:val="22"/>
        </w:rPr>
        <w:t>Orientační harmonogram výstavby nového zdroje</w:t>
      </w:r>
      <w:r w:rsidR="00C92EE7">
        <w:rPr>
          <w:b w:val="0"/>
          <w:i/>
          <w:color w:val="auto"/>
          <w:sz w:val="22"/>
          <w:szCs w:val="22"/>
        </w:rPr>
        <w:t xml:space="preserve"> (na základě platné legislativy)</w:t>
      </w:r>
      <w:bookmarkEnd w:id="227"/>
    </w:p>
    <w:tbl>
      <w:tblPr>
        <w:tblW w:w="9075" w:type="dxa"/>
        <w:tblLayout w:type="fixed"/>
        <w:tblCellMar>
          <w:left w:w="0" w:type="dxa"/>
          <w:right w:w="0" w:type="dxa"/>
        </w:tblCellMar>
        <w:tblLook w:val="0420" w:firstRow="1" w:lastRow="0" w:firstColumn="0" w:lastColumn="0" w:noHBand="0" w:noVBand="1"/>
      </w:tblPr>
      <w:tblGrid>
        <w:gridCol w:w="1278"/>
        <w:gridCol w:w="851"/>
        <w:gridCol w:w="4536"/>
        <w:gridCol w:w="1417"/>
        <w:gridCol w:w="993"/>
      </w:tblGrid>
      <w:tr w:rsidR="009E13DB" w:rsidRPr="008434AC" w:rsidTr="00FF5944">
        <w:trPr>
          <w:trHeight w:val="773"/>
        </w:trPr>
        <w:tc>
          <w:tcPr>
            <w:tcW w:w="1278" w:type="dxa"/>
            <w:tcBorders>
              <w:top w:val="single" w:sz="18" w:space="0" w:color="000000"/>
              <w:left w:val="nil"/>
              <w:bottom w:val="single" w:sz="18" w:space="0" w:color="000000"/>
              <w:right w:val="nil"/>
            </w:tcBorders>
            <w:shd w:val="clear" w:color="auto" w:fill="B8CCE4" w:themeFill="accent1" w:themeFillTint="66"/>
            <w:tcMar>
              <w:top w:w="72" w:type="dxa"/>
              <w:left w:w="144" w:type="dxa"/>
              <w:bottom w:w="72" w:type="dxa"/>
              <w:right w:w="144" w:type="dxa"/>
            </w:tcMar>
            <w:hideMark/>
          </w:tcPr>
          <w:p w:rsidR="009E13DB" w:rsidRPr="006A054D" w:rsidRDefault="009E13DB" w:rsidP="00AA7720">
            <w:pPr>
              <w:spacing w:after="0" w:line="240" w:lineRule="auto"/>
              <w:ind w:right="139"/>
              <w:jc w:val="both"/>
              <w:outlineLvl w:val="3"/>
              <w:rPr>
                <w:rFonts w:cs="Arial"/>
                <w:b/>
              </w:rPr>
            </w:pPr>
            <w:r w:rsidRPr="006A054D">
              <w:rPr>
                <w:rFonts w:cs="Arial"/>
                <w:b/>
                <w:bCs/>
                <w:kern w:val="24"/>
              </w:rPr>
              <w:t>Milník</w:t>
            </w:r>
          </w:p>
        </w:tc>
        <w:tc>
          <w:tcPr>
            <w:tcW w:w="851" w:type="dxa"/>
            <w:tcBorders>
              <w:top w:val="single" w:sz="18" w:space="0" w:color="000000"/>
              <w:left w:val="nil"/>
              <w:bottom w:val="single" w:sz="18" w:space="0" w:color="000000"/>
              <w:right w:val="nil"/>
            </w:tcBorders>
            <w:shd w:val="clear" w:color="auto" w:fill="B8CCE4" w:themeFill="accent1" w:themeFillTint="66"/>
            <w:tcMar>
              <w:top w:w="72" w:type="dxa"/>
              <w:left w:w="144" w:type="dxa"/>
              <w:bottom w:w="72" w:type="dxa"/>
              <w:right w:w="144" w:type="dxa"/>
            </w:tcMar>
            <w:hideMark/>
          </w:tcPr>
          <w:p w:rsidR="009E13DB" w:rsidRPr="006A054D" w:rsidRDefault="009E13DB" w:rsidP="00AA7720">
            <w:pPr>
              <w:spacing w:after="0" w:line="240" w:lineRule="auto"/>
              <w:jc w:val="both"/>
              <w:outlineLvl w:val="3"/>
              <w:rPr>
                <w:rFonts w:cs="Arial"/>
                <w:b/>
              </w:rPr>
            </w:pPr>
            <w:r w:rsidRPr="006A054D">
              <w:rPr>
                <w:rFonts w:cs="Arial"/>
                <w:b/>
                <w:bCs/>
                <w:kern w:val="24"/>
              </w:rPr>
              <w:t>Roky od T0</w:t>
            </w:r>
          </w:p>
        </w:tc>
        <w:tc>
          <w:tcPr>
            <w:tcW w:w="4536" w:type="dxa"/>
            <w:tcBorders>
              <w:top w:val="single" w:sz="18" w:space="0" w:color="000000"/>
              <w:left w:val="nil"/>
              <w:bottom w:val="single" w:sz="18" w:space="0" w:color="000000"/>
              <w:right w:val="nil"/>
            </w:tcBorders>
            <w:shd w:val="clear" w:color="auto" w:fill="B8CCE4" w:themeFill="accent1" w:themeFillTint="66"/>
            <w:tcMar>
              <w:top w:w="72" w:type="dxa"/>
              <w:left w:w="144" w:type="dxa"/>
              <w:bottom w:w="72" w:type="dxa"/>
              <w:right w:w="144" w:type="dxa"/>
            </w:tcMar>
            <w:hideMark/>
          </w:tcPr>
          <w:p w:rsidR="009E13DB" w:rsidRPr="006A054D" w:rsidRDefault="009E13DB" w:rsidP="00AA7720">
            <w:pPr>
              <w:spacing w:after="0" w:line="240" w:lineRule="auto"/>
              <w:ind w:left="284"/>
              <w:jc w:val="both"/>
              <w:outlineLvl w:val="3"/>
              <w:rPr>
                <w:rFonts w:cs="Arial"/>
                <w:b/>
              </w:rPr>
            </w:pPr>
            <w:r w:rsidRPr="006A054D">
              <w:rPr>
                <w:rFonts w:cs="Arial"/>
                <w:b/>
                <w:bCs/>
                <w:kern w:val="24"/>
              </w:rPr>
              <w:t>Pravděpodobná komplikace</w:t>
            </w:r>
          </w:p>
        </w:tc>
        <w:tc>
          <w:tcPr>
            <w:tcW w:w="1417" w:type="dxa"/>
            <w:tcBorders>
              <w:top w:val="single" w:sz="18" w:space="0" w:color="000000"/>
              <w:left w:val="nil"/>
              <w:bottom w:val="single" w:sz="18" w:space="0" w:color="000000"/>
              <w:right w:val="nil"/>
            </w:tcBorders>
            <w:shd w:val="clear" w:color="auto" w:fill="B8CCE4" w:themeFill="accent1" w:themeFillTint="66"/>
            <w:tcMar>
              <w:top w:w="72" w:type="dxa"/>
              <w:left w:w="144" w:type="dxa"/>
              <w:bottom w:w="72" w:type="dxa"/>
              <w:right w:w="144" w:type="dxa"/>
            </w:tcMar>
            <w:hideMark/>
          </w:tcPr>
          <w:p w:rsidR="009E13DB" w:rsidRPr="006A054D" w:rsidRDefault="009E13DB" w:rsidP="00AA7720">
            <w:pPr>
              <w:spacing w:after="0" w:line="240" w:lineRule="auto"/>
              <w:jc w:val="both"/>
              <w:outlineLvl w:val="3"/>
              <w:rPr>
                <w:rFonts w:cs="Arial"/>
                <w:b/>
              </w:rPr>
            </w:pPr>
            <w:r w:rsidRPr="006A054D">
              <w:rPr>
                <w:rFonts w:cs="Arial"/>
                <w:b/>
                <w:bCs/>
                <w:kern w:val="24"/>
              </w:rPr>
              <w:t>Možné * zpoždění</w:t>
            </w:r>
          </w:p>
        </w:tc>
        <w:tc>
          <w:tcPr>
            <w:tcW w:w="993" w:type="dxa"/>
            <w:tcBorders>
              <w:top w:val="single" w:sz="18" w:space="0" w:color="000000"/>
              <w:left w:val="nil"/>
              <w:bottom w:val="single" w:sz="18" w:space="0" w:color="000000"/>
              <w:right w:val="nil"/>
            </w:tcBorders>
            <w:shd w:val="clear" w:color="auto" w:fill="B8CCE4" w:themeFill="accent1" w:themeFillTint="66"/>
            <w:tcMar>
              <w:top w:w="72" w:type="dxa"/>
              <w:left w:w="144" w:type="dxa"/>
              <w:bottom w:w="72" w:type="dxa"/>
              <w:right w:w="144" w:type="dxa"/>
            </w:tcMar>
            <w:hideMark/>
          </w:tcPr>
          <w:p w:rsidR="009E13DB" w:rsidRPr="006A054D" w:rsidRDefault="009E13DB" w:rsidP="00AA7720">
            <w:pPr>
              <w:spacing w:after="0" w:line="240" w:lineRule="auto"/>
              <w:jc w:val="both"/>
              <w:outlineLvl w:val="3"/>
              <w:rPr>
                <w:rFonts w:cs="Arial"/>
                <w:b/>
              </w:rPr>
            </w:pPr>
            <w:r w:rsidRPr="006A054D">
              <w:rPr>
                <w:rFonts w:cs="Arial"/>
                <w:b/>
                <w:bCs/>
                <w:kern w:val="24"/>
              </w:rPr>
              <w:t>Reálně (roky od T0)</w:t>
            </w:r>
          </w:p>
        </w:tc>
      </w:tr>
      <w:tr w:rsidR="009E13DB" w:rsidRPr="008434AC" w:rsidTr="0047075F">
        <w:trPr>
          <w:trHeight w:val="610"/>
        </w:trPr>
        <w:tc>
          <w:tcPr>
            <w:tcW w:w="127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Stanovisko EIA</w:t>
            </w:r>
          </w:p>
        </w:tc>
        <w:tc>
          <w:tcPr>
            <w:tcW w:w="851"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5 let</w:t>
            </w:r>
          </w:p>
        </w:tc>
        <w:tc>
          <w:tcPr>
            <w:tcW w:w="4536"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E13DB" w:rsidRPr="008434AC" w:rsidRDefault="009E13DB" w:rsidP="00937A9A">
            <w:pPr>
              <w:spacing w:after="0" w:line="240" w:lineRule="auto"/>
              <w:jc w:val="both"/>
              <w:rPr>
                <w:rFonts w:cs="Arial"/>
              </w:rPr>
            </w:pPr>
            <w:r w:rsidRPr="008434AC">
              <w:rPr>
                <w:rFonts w:cs="Arial"/>
                <w:kern w:val="24"/>
              </w:rPr>
              <w:t xml:space="preserve">Proces mezinárodního projednávání – </w:t>
            </w:r>
            <w:r w:rsidRPr="008434AC">
              <w:rPr>
                <w:rFonts w:cs="Arial"/>
                <w:b/>
                <w:kern w:val="24"/>
              </w:rPr>
              <w:t xml:space="preserve">účelové prodlužování ze strany </w:t>
            </w:r>
            <w:r w:rsidR="00937A9A">
              <w:rPr>
                <w:rFonts w:cs="Arial"/>
                <w:b/>
                <w:kern w:val="24"/>
              </w:rPr>
              <w:t>nevládních organizací</w:t>
            </w:r>
            <w:r w:rsidRPr="008434AC">
              <w:rPr>
                <w:rFonts w:cs="Arial"/>
                <w:b/>
                <w:kern w:val="24"/>
              </w:rPr>
              <w:t xml:space="preserve"> </w:t>
            </w:r>
            <w:r w:rsidRPr="008434AC">
              <w:rPr>
                <w:rFonts w:cs="Arial"/>
                <w:kern w:val="24"/>
              </w:rPr>
              <w:t xml:space="preserve">a dalších, </w:t>
            </w:r>
            <w:r w:rsidRPr="008434AC">
              <w:rPr>
                <w:rFonts w:cs="Arial"/>
                <w:b/>
                <w:kern w:val="24"/>
              </w:rPr>
              <w:t>vliv změn legislativy</w:t>
            </w:r>
            <w:r w:rsidRPr="008434AC">
              <w:rPr>
                <w:rFonts w:cs="Arial"/>
                <w:kern w:val="24"/>
              </w:rPr>
              <w:t xml:space="preserve"> (možnost napadení procesu, soudní pře)</w:t>
            </w:r>
            <w:r w:rsidR="003F4FBB">
              <w:rPr>
                <w:rFonts w:cs="Arial"/>
                <w:kern w:val="24"/>
              </w:rPr>
              <w:t>.</w:t>
            </w:r>
          </w:p>
        </w:tc>
        <w:tc>
          <w:tcPr>
            <w:tcW w:w="141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p>
        </w:tc>
        <w:tc>
          <w:tcPr>
            <w:tcW w:w="99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5</w:t>
            </w:r>
          </w:p>
        </w:tc>
      </w:tr>
      <w:tr w:rsidR="009E13DB" w:rsidRPr="008434AC" w:rsidTr="0047075F">
        <w:trPr>
          <w:trHeight w:val="610"/>
        </w:trPr>
        <w:tc>
          <w:tcPr>
            <w:tcW w:w="1278"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Povolení k umístění (SÚJB)</w:t>
            </w:r>
          </w:p>
        </w:tc>
        <w:tc>
          <w:tcPr>
            <w:tcW w:w="851"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5,5</w:t>
            </w:r>
          </w:p>
        </w:tc>
        <w:tc>
          <w:tcPr>
            <w:tcW w:w="4536"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Přerušení procesu – požadavek na doplnění informací</w:t>
            </w:r>
            <w:r w:rsidR="003F4FBB">
              <w:rPr>
                <w:rFonts w:cs="Arial"/>
                <w:kern w:val="24"/>
              </w:rPr>
              <w:t>.</w:t>
            </w:r>
          </w:p>
        </w:tc>
        <w:tc>
          <w:tcPr>
            <w:tcW w:w="1417"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p>
        </w:tc>
        <w:tc>
          <w:tcPr>
            <w:tcW w:w="993"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 xml:space="preserve">6,5 </w:t>
            </w:r>
          </w:p>
        </w:tc>
      </w:tr>
      <w:tr w:rsidR="009E13DB" w:rsidRPr="008434AC" w:rsidTr="0047075F">
        <w:trPr>
          <w:trHeight w:val="610"/>
        </w:trPr>
        <w:tc>
          <w:tcPr>
            <w:tcW w:w="1278"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Výběr dodavatele</w:t>
            </w:r>
          </w:p>
        </w:tc>
        <w:tc>
          <w:tcPr>
            <w:tcW w:w="851"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6,5</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Stížnost / žaloba vyloučeného nebo neúspěšného uchazeče, prodloužení notifikačního procesu u EK, prodloužení interního schvalování</w:t>
            </w:r>
            <w:r w:rsidR="003F4FBB">
              <w:rPr>
                <w:rFonts w:cs="Arial"/>
                <w:kern w:val="24"/>
              </w:rPr>
              <w:t>.</w:t>
            </w:r>
          </w:p>
        </w:tc>
        <w:tc>
          <w:tcPr>
            <w:tcW w:w="1417"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+ 0 - 2 roky</w:t>
            </w:r>
          </w:p>
          <w:p w:rsidR="009E13DB" w:rsidRPr="008434AC" w:rsidRDefault="009E13DB" w:rsidP="00AA7720">
            <w:pPr>
              <w:spacing w:after="0" w:line="240" w:lineRule="auto"/>
              <w:jc w:val="both"/>
              <w:rPr>
                <w:rFonts w:cs="Arial"/>
                <w:b/>
              </w:rPr>
            </w:pPr>
            <w:r w:rsidRPr="008434AC">
              <w:rPr>
                <w:rFonts w:cs="Arial"/>
                <w:b/>
                <w:bCs/>
                <w:kern w:val="24"/>
              </w:rPr>
              <w:t>(+ 0 roku)</w:t>
            </w:r>
          </w:p>
        </w:tc>
        <w:tc>
          <w:tcPr>
            <w:tcW w:w="993"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 xml:space="preserve">6,5 </w:t>
            </w:r>
          </w:p>
        </w:tc>
      </w:tr>
      <w:tr w:rsidR="009E13DB" w:rsidRPr="008434AC" w:rsidTr="0047075F">
        <w:trPr>
          <w:trHeight w:val="610"/>
        </w:trPr>
        <w:tc>
          <w:tcPr>
            <w:tcW w:w="1278"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Pravomocné územní rozhodnutí</w:t>
            </w:r>
          </w:p>
        </w:tc>
        <w:tc>
          <w:tcPr>
            <w:tcW w:w="851"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8,5 </w:t>
            </w:r>
          </w:p>
        </w:tc>
        <w:tc>
          <w:tcPr>
            <w:tcW w:w="4536"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2F299A" w:rsidP="002F299A">
            <w:pPr>
              <w:spacing w:after="0" w:line="240" w:lineRule="auto"/>
              <w:jc w:val="both"/>
              <w:rPr>
                <w:rFonts w:cs="Arial"/>
              </w:rPr>
            </w:pPr>
            <w:r w:rsidRPr="002F299A">
              <w:rPr>
                <w:rFonts w:cs="Arial"/>
                <w:kern w:val="24"/>
              </w:rPr>
              <w:t xml:space="preserve">Trvání správního řízení vedeného stavebním úřadem s ohledem na rozsah a složitost projektu, přerušení procesu a vyžádání dodatečných informací (výklad stavebního zákona), případná žaloba na platnost </w:t>
            </w:r>
            <w:r>
              <w:rPr>
                <w:rFonts w:cs="Arial"/>
                <w:kern w:val="24"/>
              </w:rPr>
              <w:t>územního rozhodnutí</w:t>
            </w:r>
            <w:r w:rsidRPr="002F299A">
              <w:rPr>
                <w:rFonts w:cs="Arial"/>
                <w:kern w:val="24"/>
              </w:rPr>
              <w:t xml:space="preserve"> (ze strany účastníků řízení)</w:t>
            </w:r>
            <w:r>
              <w:rPr>
                <w:rFonts w:cs="Arial"/>
                <w:kern w:val="24"/>
              </w:rPr>
              <w:t>.</w:t>
            </w:r>
          </w:p>
        </w:tc>
        <w:tc>
          <w:tcPr>
            <w:tcW w:w="1417"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+ 0,5-2 roky</w:t>
            </w:r>
          </w:p>
          <w:p w:rsidR="009E13DB" w:rsidRPr="008434AC" w:rsidRDefault="009E13DB" w:rsidP="00AA7720">
            <w:pPr>
              <w:spacing w:after="0" w:line="240" w:lineRule="auto"/>
              <w:jc w:val="both"/>
              <w:rPr>
                <w:rFonts w:cs="Arial"/>
                <w:b/>
              </w:rPr>
            </w:pPr>
            <w:r w:rsidRPr="008434AC">
              <w:rPr>
                <w:rFonts w:cs="Arial"/>
                <w:b/>
                <w:bCs/>
                <w:kern w:val="24"/>
              </w:rPr>
              <w:t>(+0,8 roku)</w:t>
            </w:r>
          </w:p>
        </w:tc>
        <w:tc>
          <w:tcPr>
            <w:tcW w:w="993"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 xml:space="preserve">9,3 </w:t>
            </w:r>
          </w:p>
        </w:tc>
      </w:tr>
      <w:tr w:rsidR="009E13DB" w:rsidRPr="008434AC" w:rsidTr="0047075F">
        <w:trPr>
          <w:trHeight w:val="648"/>
        </w:trPr>
        <w:tc>
          <w:tcPr>
            <w:tcW w:w="1278"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Povolení k výstavbě (SÚJB)</w:t>
            </w:r>
          </w:p>
        </w:tc>
        <w:tc>
          <w:tcPr>
            <w:tcW w:w="851"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9,5 </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Prodloužení posuzování ze strany SÚJB, přerušení procesu a vyžádání dodatečných informací (výklad legislativy), </w:t>
            </w:r>
            <w:r w:rsidRPr="008434AC">
              <w:rPr>
                <w:rFonts w:cs="Arial"/>
                <w:b/>
                <w:kern w:val="24"/>
              </w:rPr>
              <w:t>změna lhůt v novelizovaném atomovém zákoně</w:t>
            </w:r>
            <w:r w:rsidR="003F4FBB" w:rsidRPr="003F4FBB">
              <w:rPr>
                <w:rFonts w:cs="Arial"/>
                <w:kern w:val="24"/>
              </w:rPr>
              <w:t>.</w:t>
            </w:r>
          </w:p>
        </w:tc>
        <w:tc>
          <w:tcPr>
            <w:tcW w:w="1417"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+ 1-2 roky</w:t>
            </w:r>
          </w:p>
          <w:p w:rsidR="009E13DB" w:rsidRPr="008434AC" w:rsidRDefault="009E13DB" w:rsidP="00AA7720">
            <w:pPr>
              <w:spacing w:after="0" w:line="240" w:lineRule="auto"/>
              <w:jc w:val="both"/>
              <w:rPr>
                <w:rFonts w:cs="Arial"/>
                <w:b/>
              </w:rPr>
            </w:pPr>
            <w:r w:rsidRPr="008434AC">
              <w:rPr>
                <w:rFonts w:cs="Arial"/>
                <w:b/>
                <w:bCs/>
                <w:kern w:val="24"/>
              </w:rPr>
              <w:t>(+ 1,5 roku)</w:t>
            </w:r>
          </w:p>
        </w:tc>
        <w:tc>
          <w:tcPr>
            <w:tcW w:w="993" w:type="dxa"/>
            <w:tcBorders>
              <w:top w:val="nil"/>
              <w:left w:val="nil"/>
              <w:bottom w:val="nil"/>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11,8</w:t>
            </w:r>
          </w:p>
        </w:tc>
      </w:tr>
      <w:tr w:rsidR="009E13DB" w:rsidRPr="008434AC" w:rsidTr="0047075F">
        <w:trPr>
          <w:trHeight w:val="773"/>
        </w:trPr>
        <w:tc>
          <w:tcPr>
            <w:tcW w:w="1278"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Stavební povolení = zahájení výstavby</w:t>
            </w:r>
          </w:p>
        </w:tc>
        <w:tc>
          <w:tcPr>
            <w:tcW w:w="851"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10,5 </w:t>
            </w:r>
          </w:p>
        </w:tc>
        <w:tc>
          <w:tcPr>
            <w:tcW w:w="4536"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kern w:val="24"/>
              </w:rPr>
            </w:pPr>
            <w:r w:rsidRPr="008434AC">
              <w:rPr>
                <w:rFonts w:cs="Arial"/>
                <w:kern w:val="24"/>
              </w:rPr>
              <w:t xml:space="preserve">Nedodržení legislativních lhůt ze strany MPO s ohledem na rozsah a složitost projektu, přerušení procesu a vyžádání dodatečných informací (výklad stavebního zákona), </w:t>
            </w:r>
          </w:p>
          <w:p w:rsidR="009E13DB" w:rsidRPr="008434AC" w:rsidRDefault="009E13DB" w:rsidP="006E42A1">
            <w:pPr>
              <w:spacing w:after="0" w:line="240" w:lineRule="auto"/>
              <w:jc w:val="both"/>
              <w:rPr>
                <w:rFonts w:cs="Arial"/>
              </w:rPr>
            </w:pPr>
            <w:r w:rsidRPr="008434AC">
              <w:rPr>
                <w:rFonts w:cs="Arial"/>
                <w:b/>
                <w:kern w:val="24"/>
              </w:rPr>
              <w:t xml:space="preserve">žaloba na platnost </w:t>
            </w:r>
            <w:r w:rsidR="006E42A1">
              <w:rPr>
                <w:rFonts w:cs="Arial"/>
                <w:b/>
                <w:kern w:val="24"/>
              </w:rPr>
              <w:t>stavebního povolení</w:t>
            </w:r>
            <w:r w:rsidRPr="008434AC">
              <w:rPr>
                <w:rFonts w:cs="Arial"/>
                <w:kern w:val="24"/>
              </w:rPr>
              <w:t xml:space="preserve"> (ze strany účastníků řízení)</w:t>
            </w:r>
            <w:r w:rsidR="003F4FBB">
              <w:rPr>
                <w:rFonts w:cs="Arial"/>
                <w:kern w:val="24"/>
              </w:rPr>
              <w:t>.</w:t>
            </w:r>
          </w:p>
        </w:tc>
        <w:tc>
          <w:tcPr>
            <w:tcW w:w="1417"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+ 1 rok</w:t>
            </w:r>
          </w:p>
          <w:p w:rsidR="009E13DB" w:rsidRPr="008434AC" w:rsidRDefault="009E13DB" w:rsidP="00AA7720">
            <w:pPr>
              <w:spacing w:after="0" w:line="240" w:lineRule="auto"/>
              <w:jc w:val="both"/>
              <w:rPr>
                <w:rFonts w:cs="Arial"/>
                <w:b/>
              </w:rPr>
            </w:pPr>
            <w:r w:rsidRPr="008434AC">
              <w:rPr>
                <w:rFonts w:cs="Arial"/>
                <w:b/>
                <w:bCs/>
                <w:kern w:val="24"/>
              </w:rPr>
              <w:t>(+ 0,5 roku)</w:t>
            </w:r>
          </w:p>
        </w:tc>
        <w:tc>
          <w:tcPr>
            <w:tcW w:w="993" w:type="dxa"/>
            <w:tcBorders>
              <w:top w:val="nil"/>
              <w:left w:val="nil"/>
              <w:bottom w:val="nil"/>
              <w:right w:val="nil"/>
            </w:tcBorders>
            <w:shd w:val="clear" w:color="auto" w:fill="auto"/>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13,3</w:t>
            </w:r>
          </w:p>
        </w:tc>
      </w:tr>
      <w:tr w:rsidR="009E13DB" w:rsidRPr="008434AC" w:rsidTr="0047075F">
        <w:trPr>
          <w:trHeight w:val="447"/>
        </w:trPr>
        <w:tc>
          <w:tcPr>
            <w:tcW w:w="127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Uvedení do provozu blok 1</w:t>
            </w:r>
          </w:p>
        </w:tc>
        <w:tc>
          <w:tcPr>
            <w:tcW w:w="851"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17,5 </w:t>
            </w:r>
          </w:p>
        </w:tc>
        <w:tc>
          <w:tcPr>
            <w:tcW w:w="4536"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xml:space="preserve">Prodloužení výstavby v důsledku </w:t>
            </w:r>
            <w:r w:rsidRPr="008434AC">
              <w:rPr>
                <w:rFonts w:cs="Arial"/>
                <w:b/>
                <w:kern w:val="24"/>
              </w:rPr>
              <w:t>legislativních změn</w:t>
            </w:r>
            <w:r w:rsidRPr="008434AC">
              <w:rPr>
                <w:rFonts w:cs="Arial"/>
                <w:kern w:val="24"/>
              </w:rPr>
              <w:t>, nejakosti na straně dodavatele</w:t>
            </w:r>
            <w:r w:rsidR="003F4FBB">
              <w:rPr>
                <w:rFonts w:cs="Arial"/>
                <w:kern w:val="24"/>
              </w:rPr>
              <w:t>.</w:t>
            </w:r>
            <w:r w:rsidRPr="008434AC">
              <w:rPr>
                <w:rFonts w:cs="Arial"/>
                <w:kern w:val="24"/>
              </w:rPr>
              <w:t xml:space="preserve">  </w:t>
            </w:r>
          </w:p>
        </w:tc>
        <w:tc>
          <w:tcPr>
            <w:tcW w:w="141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kern w:val="24"/>
              </w:rPr>
              <w:t>+ 1-3 roky</w:t>
            </w:r>
          </w:p>
          <w:p w:rsidR="009E13DB" w:rsidRPr="008434AC" w:rsidRDefault="009E13DB" w:rsidP="00AA7720">
            <w:pPr>
              <w:spacing w:after="0" w:line="240" w:lineRule="auto"/>
              <w:jc w:val="both"/>
              <w:rPr>
                <w:rFonts w:cs="Arial"/>
                <w:b/>
              </w:rPr>
            </w:pPr>
            <w:r w:rsidRPr="008434AC">
              <w:rPr>
                <w:rFonts w:cs="Arial"/>
                <w:b/>
                <w:bCs/>
                <w:kern w:val="24"/>
              </w:rPr>
              <w:t>(+ 2 roky)</w:t>
            </w:r>
          </w:p>
        </w:tc>
        <w:tc>
          <w:tcPr>
            <w:tcW w:w="99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E13DB" w:rsidRPr="008434AC" w:rsidRDefault="009E13DB" w:rsidP="00AA7720">
            <w:pPr>
              <w:spacing w:after="0" w:line="240" w:lineRule="auto"/>
              <w:jc w:val="both"/>
              <w:rPr>
                <w:rFonts w:cs="Arial"/>
              </w:rPr>
            </w:pPr>
            <w:r w:rsidRPr="008434AC">
              <w:rPr>
                <w:rFonts w:cs="Arial"/>
                <w:bCs/>
                <w:kern w:val="24"/>
              </w:rPr>
              <w:t>22,3</w:t>
            </w:r>
          </w:p>
        </w:tc>
      </w:tr>
    </w:tbl>
    <w:p w:rsidR="009E13DB" w:rsidRPr="00D22FE5" w:rsidRDefault="009E13DB" w:rsidP="00AA7720">
      <w:pPr>
        <w:pStyle w:val="Normlnweb"/>
        <w:spacing w:before="120" w:beforeAutospacing="0" w:line="276" w:lineRule="auto"/>
        <w:jc w:val="both"/>
        <w:rPr>
          <w:rFonts w:asciiTheme="minorHAnsi" w:hAnsiTheme="minorHAnsi" w:cs="Calibri"/>
          <w:sz w:val="20"/>
          <w:szCs w:val="22"/>
        </w:rPr>
      </w:pPr>
      <w:r w:rsidRPr="00D22FE5">
        <w:rPr>
          <w:rFonts w:asciiTheme="minorHAnsi" w:hAnsiTheme="minorHAnsi" w:cs="Calibri"/>
          <w:bCs/>
          <w:sz w:val="20"/>
          <w:szCs w:val="22"/>
        </w:rPr>
        <w:t xml:space="preserve">* Možné prodloužení dané činnosti na kritické cestě. V rámci rizik výstavby je již v uvedeném delším harmonogramu zahrnuto i riziko zpoždění při výstavbě vlivem spouštění. Konkrétní rozlišení rizik výstavby nicméně výrazně závisí od znalosti konkrétní využité technologie, a tudíž v této fázi analýzy není možné je přesně uchopit. Harmonogram zároveň již nezobrazuje další faktory, které se projevují po období, kdy nový zdroj již dodává elektřinu do sítě. </w:t>
      </w:r>
    </w:p>
    <w:p w:rsidR="00FB0D80" w:rsidRDefault="00FB0D80">
      <w:r>
        <w:br w:type="page"/>
      </w:r>
    </w:p>
    <w:p w:rsidR="009E13DB" w:rsidRPr="008434AC" w:rsidRDefault="009E13DB" w:rsidP="009E13DB">
      <w:pPr>
        <w:jc w:val="both"/>
      </w:pPr>
      <w:r w:rsidRPr="008434AC">
        <w:lastRenderedPageBreak/>
        <w:t xml:space="preserve">V případě rozhodnutí o zahájení přípravy v roce 2015 je nejbližším reálným termínem rok 2032 při výrazné minimalizaci rizik. Navíc v případě JE Temelín již řada povolení, respektive přípravných prací existuje, tudíž by </w:t>
      </w:r>
      <w:r>
        <w:t>umožnilo</w:t>
      </w:r>
      <w:r w:rsidRPr="008434AC">
        <w:t xml:space="preserve"> předpokládaný harmonogram </w:t>
      </w:r>
      <w:r>
        <w:t xml:space="preserve">dále </w:t>
      </w:r>
      <w:r w:rsidRPr="008434AC">
        <w:t>zkrátit za předpokladu výraznějšího urychlení výběru EPC dodavatele (prostřednictvím výjimky ze ZVZ nebo přímým výběrem).</w:t>
      </w:r>
      <w:r>
        <w:t xml:space="preserve"> </w:t>
      </w:r>
      <w:r w:rsidRPr="008434AC">
        <w:t xml:space="preserve">V případě cílené aktivity ze strany státu zaměřené na omezení rizik povolovacích a licenčních procesů a zároveň výraznějšího urychlení výběru EPC dodavatele je možno  s touto variantou pro projekt JE Temelín počítat jako se základní, která rovněž umožní naplnit požadavky na rozvoj energetických zdrojů dle ASEK. U projektu Dukovany nebude zkrácení v důsledku rychlejšího výběru EPC dodavatele tak významné, a to především s ohledem na nutnost získání stanoviska EIA a realizace dalších přípravných prací, které jsou již u projektu JE Temelín </w:t>
      </w:r>
      <w:r w:rsidR="00FB0D80">
        <w:t>hotovy.</w:t>
      </w:r>
    </w:p>
    <w:p w:rsidR="009E13DB" w:rsidRPr="008434AC" w:rsidRDefault="009E13DB" w:rsidP="009E13DB">
      <w:pPr>
        <w:jc w:val="both"/>
      </w:pPr>
      <w:r w:rsidRPr="008434AC">
        <w:t xml:space="preserve">V  případě zahrnutí rizik u všech dílčích procesů </w:t>
      </w:r>
      <w:r>
        <w:t xml:space="preserve">je termínem uvedení do provozu </w:t>
      </w:r>
      <w:r w:rsidRPr="008434AC">
        <w:t>až rok 2037, tento termín je ale krajní, především z pohledu nového zdroje v JE Dukovany v souladu s potřebami státu a</w:t>
      </w:r>
      <w:r w:rsidR="00FB0D80">
        <w:t> </w:t>
      </w:r>
      <w:r w:rsidRPr="008434AC">
        <w:t>je potřeba činit ze strany státu cílené kroky ke zkrácení doby výstavby nového zdroje. Tento termín byl stanoven na základě rizikové analýzy z pravděpodobnostní hladiny P65 (tzn.: je 65% pravděpodobnost, že první bl</w:t>
      </w:r>
      <w:r w:rsidR="00FB0D80">
        <w:t>ok bude dokončen do roku 2037).</w:t>
      </w:r>
    </w:p>
    <w:p w:rsidR="009E13DB" w:rsidRPr="008434AC" w:rsidRDefault="009E13DB" w:rsidP="009E13DB">
      <w:pPr>
        <w:jc w:val="both"/>
      </w:pPr>
      <w:r w:rsidRPr="008434AC">
        <w:t>V případě maximálního zahrnutí všech rizik v nejdelší variantě se můžeme dostat dokonce k roku 2042. Tento termín by nicméně znamenal jakoukoliv rezignaci ze strany státu realizovat výstavbu nových jaderných zdrojů. Riziková analýza obsahuje rizika napříč celou výstavbou NJZ a nelze určitě eliminovat všechna rizika v dané variantě. Např.: odvolání neúspěšných uchazečů, odvolání třetích stran v procesu územního rozhodnutí, či napadení stanoviska EIA z důvodu nové legislativy. V případě nalezení alternativního způsobu zajištění dodavatele (tj. bez ZVZ) nebo v případě změny legislativy pro povolování a licencování, lze upravit základní (deterministický) harmonogram a/nebo zmírnit dopady rizik související s těmito činnostmi a tím očekávanou dobu zkrátit. Vzhledem k hypotetické úvaze nelze určit, o kolik přesně by se harmonogram zkrátil, ale řádově se jedná o jednotky roků.</w:t>
      </w:r>
    </w:p>
    <w:p w:rsidR="009E13DB" w:rsidRPr="008434AC" w:rsidRDefault="009E13DB" w:rsidP="009E13DB">
      <w:pPr>
        <w:jc w:val="both"/>
      </w:pPr>
      <w:r w:rsidRPr="008434AC">
        <w:t xml:space="preserve">Predikce vývoje </w:t>
      </w:r>
      <w:r w:rsidRPr="008434AC">
        <w:rPr>
          <w:b/>
        </w:rPr>
        <w:t>ceny silové elektřiny</w:t>
      </w:r>
      <w:r w:rsidRPr="008434AC">
        <w:t xml:space="preserve"> v kontextu ČR byla kalkulována jak na úrovni variabilních, tak i</w:t>
      </w:r>
      <w:r w:rsidR="00AA7720">
        <w:t> </w:t>
      </w:r>
      <w:r w:rsidRPr="008434AC">
        <w:t xml:space="preserve">plných (výrobních) nákladů tzv. závěrné elektrárny. K této fundamentální hodnotě by se měla cena silové elektřiny přibližovat, i když může v přechodných obdobích fluktuovat na základě vývoje ostatních faktorů neovlivňujících přímo </w:t>
      </w:r>
      <w:r>
        <w:t>nákladovou cenu závěrné elektrárny</w:t>
      </w:r>
      <w:r w:rsidRPr="008434AC">
        <w:t>. Tuto fundamentální hodnotu (marginální cenu) je v prostředí liberalizovaného trhu s elektřinou nutné stanovit v kontextu celoevropského trhu s detailním vyjádřením nabídkové strany (</w:t>
      </w:r>
      <w:r w:rsidRPr="008434AC">
        <w:rPr>
          <w:i/>
        </w:rPr>
        <w:t xml:space="preserve">merit </w:t>
      </w:r>
      <w:proofErr w:type="spellStart"/>
      <w:r w:rsidRPr="008434AC">
        <w:rPr>
          <w:i/>
        </w:rPr>
        <w:t>order</w:t>
      </w:r>
      <w:proofErr w:type="spellEnd"/>
      <w:r w:rsidRPr="008434AC">
        <w:t>), přeshraničních kapacit a</w:t>
      </w:r>
      <w:r w:rsidR="00FB0D80">
        <w:t> </w:t>
      </w:r>
      <w:r w:rsidRPr="008434AC">
        <w:t>jiných tržních omezení. Pro období do roku 2030 proto byla hodnota stanovena na základě variabilních nákladů závěrné elektrárny a pro období za rok 2030 na základě předpokladů plných nákladů závěrné elektrárny.</w:t>
      </w:r>
    </w:p>
    <w:p w:rsidR="009E13DB" w:rsidRPr="008434AC" w:rsidRDefault="009E13DB" w:rsidP="009E13DB">
      <w:pPr>
        <w:jc w:val="both"/>
      </w:pPr>
      <w:r w:rsidRPr="008434AC">
        <w:t xml:space="preserve">V období do roku 2030 jsou jednotlivé varianty počítány pro 3 ceny velkoobchodní ceny elektrické energie – nízký, referenční a vysoký scénář. Do roku 2030 byl pro predikci využit model PLEXOS ® </w:t>
      </w:r>
      <w:proofErr w:type="spellStart"/>
      <w:r w:rsidRPr="00AA7720">
        <w:rPr>
          <w:i/>
        </w:rPr>
        <w:t>Integrated</w:t>
      </w:r>
      <w:proofErr w:type="spellEnd"/>
      <w:r w:rsidRPr="00AA7720">
        <w:rPr>
          <w:i/>
        </w:rPr>
        <w:t xml:space="preserve"> </w:t>
      </w:r>
      <w:proofErr w:type="spellStart"/>
      <w:r w:rsidRPr="00AA7720">
        <w:rPr>
          <w:i/>
        </w:rPr>
        <w:t>Energy</w:t>
      </w:r>
      <w:proofErr w:type="spellEnd"/>
      <w:r w:rsidRPr="00AA7720">
        <w:rPr>
          <w:i/>
        </w:rPr>
        <w:t xml:space="preserve"> Model</w:t>
      </w:r>
      <w:r w:rsidRPr="008434AC">
        <w:t>. Predikce cen elektrické energie používá odhad vývoje reálných cen energetických komodit z </w:t>
      </w:r>
      <w:proofErr w:type="spellStart"/>
      <w:r w:rsidRPr="00AA7720">
        <w:rPr>
          <w:i/>
        </w:rPr>
        <w:t>World</w:t>
      </w:r>
      <w:proofErr w:type="spellEnd"/>
      <w:r w:rsidRPr="00AA7720">
        <w:rPr>
          <w:i/>
        </w:rPr>
        <w:t xml:space="preserve"> </w:t>
      </w:r>
      <w:proofErr w:type="spellStart"/>
      <w:r w:rsidRPr="00AA7720">
        <w:rPr>
          <w:i/>
        </w:rPr>
        <w:t>Energy</w:t>
      </w:r>
      <w:proofErr w:type="spellEnd"/>
      <w:r w:rsidRPr="00AA7720">
        <w:rPr>
          <w:i/>
        </w:rPr>
        <w:t xml:space="preserve"> Outlook</w:t>
      </w:r>
      <w:r w:rsidRPr="008434AC">
        <w:t xml:space="preserve"> z roku 2013 od IEA. Dále jednotlivé scénáře pracují s různým vývojem ceny emisní povolenky, která se odvíjí od možné reformy systému obchodování s emisními povolenkami v EU:</w:t>
      </w:r>
    </w:p>
    <w:p w:rsidR="009E13DB" w:rsidRPr="008434AC" w:rsidRDefault="009E13DB" w:rsidP="0044189F">
      <w:pPr>
        <w:pStyle w:val="Odstavecseseznamem"/>
        <w:numPr>
          <w:ilvl w:val="0"/>
          <w:numId w:val="56"/>
        </w:numPr>
        <w:spacing w:before="240"/>
        <w:jc w:val="both"/>
      </w:pPr>
      <w:r w:rsidRPr="008434AC">
        <w:t xml:space="preserve">Nízký scénář (bez MSR) předpokládá, že by se nepovedlo v rámci systému reformy EU ETS zavést tzv. tržní stabilizační </w:t>
      </w:r>
      <w:r w:rsidR="005831ED">
        <w:t>rezervu</w:t>
      </w:r>
      <w:r w:rsidRPr="008434AC">
        <w:t xml:space="preserve"> (MSR), která by umožnila regulovat množství dostupných povolenek na trhu</w:t>
      </w:r>
      <w:r w:rsidR="001F4DB3">
        <w:t>.</w:t>
      </w:r>
    </w:p>
    <w:p w:rsidR="009E13DB" w:rsidRPr="008434AC" w:rsidRDefault="009E13DB" w:rsidP="0044189F">
      <w:pPr>
        <w:pStyle w:val="Odstavecseseznamem"/>
        <w:numPr>
          <w:ilvl w:val="0"/>
          <w:numId w:val="56"/>
        </w:numPr>
        <w:spacing w:before="240"/>
        <w:jc w:val="both"/>
      </w:pPr>
      <w:r w:rsidRPr="008434AC">
        <w:lastRenderedPageBreak/>
        <w:t>Referenční scénář (MSR2021) předpokládá zavedení MSR až v nové obchodovací periodě po roce 2020</w:t>
      </w:r>
      <w:r w:rsidR="001F4DB3">
        <w:t>.</w:t>
      </w:r>
    </w:p>
    <w:p w:rsidR="009E13DB" w:rsidRPr="008434AC" w:rsidRDefault="00937A9A" w:rsidP="0044189F">
      <w:pPr>
        <w:pStyle w:val="Odstavecseseznamem"/>
        <w:numPr>
          <w:ilvl w:val="0"/>
          <w:numId w:val="56"/>
        </w:numPr>
        <w:spacing w:before="240"/>
        <w:jc w:val="both"/>
      </w:pPr>
      <w:r>
        <w:t>Vysoký scénář (M</w:t>
      </w:r>
      <w:r w:rsidR="009E13DB" w:rsidRPr="008434AC">
        <w:t>S</w:t>
      </w:r>
      <w:r>
        <w:t>R</w:t>
      </w:r>
      <w:r w:rsidR="009E13DB" w:rsidRPr="008434AC">
        <w:t>2017) předpokládá zavedení MSR do praxe již v roce 2017 s tím, že by do ní byly rovnou převedeny povolenky stažen</w:t>
      </w:r>
      <w:r w:rsidR="00103DE1">
        <w:t>é</w:t>
      </w:r>
      <w:r w:rsidR="009E13DB" w:rsidRPr="008434AC">
        <w:t xml:space="preserve"> v rámci tzv. </w:t>
      </w:r>
      <w:proofErr w:type="spellStart"/>
      <w:r w:rsidR="009E13DB" w:rsidRPr="008434AC">
        <w:t>backloadingu</w:t>
      </w:r>
      <w:proofErr w:type="spellEnd"/>
      <w:r w:rsidR="009E13DB" w:rsidRPr="008434AC">
        <w:t>.</w:t>
      </w:r>
    </w:p>
    <w:p w:rsidR="009E13DB" w:rsidRPr="006A054D" w:rsidRDefault="009E13DB" w:rsidP="009E13DB">
      <w:pPr>
        <w:pStyle w:val="Titulek"/>
        <w:keepNext/>
        <w:jc w:val="both"/>
        <w:rPr>
          <w:color w:val="auto"/>
          <w:sz w:val="22"/>
          <w:szCs w:val="22"/>
        </w:rPr>
      </w:pPr>
      <w:bookmarkStart w:id="228" w:name="_Toc420058303"/>
      <w:r w:rsidRPr="006A054D">
        <w:rPr>
          <w:color w:val="auto"/>
          <w:sz w:val="22"/>
          <w:szCs w:val="22"/>
        </w:rPr>
        <w:t xml:space="preserve">Graf č. </w:t>
      </w:r>
      <w:r w:rsidRPr="006A054D">
        <w:rPr>
          <w:color w:val="auto"/>
          <w:sz w:val="22"/>
          <w:szCs w:val="22"/>
        </w:rPr>
        <w:fldChar w:fldCharType="begin"/>
      </w:r>
      <w:r w:rsidRPr="006A054D">
        <w:rPr>
          <w:color w:val="auto"/>
          <w:sz w:val="22"/>
          <w:szCs w:val="22"/>
        </w:rPr>
        <w:instrText xml:space="preserve"> SEQ Graf_č. \* ARABIC </w:instrText>
      </w:r>
      <w:r w:rsidRPr="006A054D">
        <w:rPr>
          <w:color w:val="auto"/>
          <w:sz w:val="22"/>
          <w:szCs w:val="22"/>
        </w:rPr>
        <w:fldChar w:fldCharType="separate"/>
      </w:r>
      <w:r w:rsidR="00471F02">
        <w:rPr>
          <w:noProof/>
          <w:color w:val="auto"/>
          <w:sz w:val="22"/>
          <w:szCs w:val="22"/>
        </w:rPr>
        <w:t>5</w:t>
      </w:r>
      <w:r w:rsidRPr="006A054D">
        <w:rPr>
          <w:color w:val="auto"/>
          <w:sz w:val="22"/>
          <w:szCs w:val="22"/>
        </w:rPr>
        <w:fldChar w:fldCharType="end"/>
      </w:r>
      <w:r w:rsidRPr="006A054D">
        <w:rPr>
          <w:color w:val="auto"/>
          <w:sz w:val="22"/>
          <w:szCs w:val="22"/>
        </w:rPr>
        <w:t xml:space="preserve">: </w:t>
      </w:r>
      <w:r w:rsidRPr="006A054D">
        <w:rPr>
          <w:b w:val="0"/>
          <w:i/>
          <w:color w:val="auto"/>
          <w:sz w:val="22"/>
          <w:szCs w:val="22"/>
        </w:rPr>
        <w:t>Vývoj ceny elektrické energie do roku 2030</w:t>
      </w:r>
      <w:bookmarkEnd w:id="228"/>
    </w:p>
    <w:p w:rsidR="009E13DB" w:rsidRPr="008434AC" w:rsidRDefault="009E13DB" w:rsidP="00AA7720">
      <w:pPr>
        <w:jc w:val="center"/>
      </w:pPr>
      <w:r w:rsidRPr="008434AC">
        <w:rPr>
          <w:noProof/>
          <w:lang w:eastAsia="cs-CZ"/>
        </w:rPr>
        <w:drawing>
          <wp:inline distT="0" distB="0" distL="0" distR="0" wp14:anchorId="104E19A8" wp14:editId="1F3B09D1">
            <wp:extent cx="5760000" cy="4140000"/>
            <wp:effectExtent l="0" t="0" r="12700" b="13335"/>
            <wp:docPr id="16"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13DB" w:rsidRPr="006A054D" w:rsidRDefault="009E13DB" w:rsidP="009E13DB">
      <w:pPr>
        <w:jc w:val="both"/>
      </w:pPr>
      <w:r w:rsidRPr="008434AC">
        <w:t xml:space="preserve">V horizontu let 2030 - 2040 již panuje významná nejistota ohledně budoucích hodnot relevantních </w:t>
      </w:r>
      <w:r w:rsidRPr="006A054D">
        <w:t xml:space="preserve">vstupních parametrů, detailních údajů o výrobním mixu v Evropě i cenách fundamentů i ceny povolenek za emise uhlíku, která činí dlouhodobé modelování ceny silové elektřiny významně problematickým. V tomto horizontu byla tedy pro predikci vývoje ceny silové elektřiny použita metoda plných nákladů tzv. závěrné elektrárny. </w:t>
      </w:r>
    </w:p>
    <w:p w:rsidR="009E13DB" w:rsidRPr="006A054D" w:rsidRDefault="009E13DB" w:rsidP="009E13DB">
      <w:pPr>
        <w:jc w:val="both"/>
      </w:pPr>
      <w:r w:rsidRPr="006A054D">
        <w:t>Cena elektřiny by měla být za tohoto předpokladu určena náklady posledního typu zdroje uspokojujícího poptávku po elektřině, a to na úrovni plných nákladů (tedy součtu jak variabilních</w:t>
      </w:r>
      <w:r w:rsidR="00103DE1">
        <w:t>,</w:t>
      </w:r>
      <w:r w:rsidRPr="006A054D">
        <w:t xml:space="preserve"> tak fixních nákladů).</w:t>
      </w:r>
      <w:r w:rsidRPr="006A054D">
        <w:rPr>
          <w:rStyle w:val="Znakapoznpodarou"/>
        </w:rPr>
        <w:footnoteReference w:id="16"/>
      </w:r>
      <w:r w:rsidRPr="006A054D">
        <w:t xml:space="preserve"> Závěrnou elektrárnu by měla tvořit paroplynová elektrárna, případně nadkritický vysoce účinný blok spalující uhlí. V prognóze by měl být zohledněn možný budoucí vývoj cen vstupů, především tedy paliva a emisní povolenky a dále očekávaný vývoj investičních výdajů. Pro paroplynovou elektrárnu vychází plné náklady v závislosti na dlouhodobém vývoji cen CO</w:t>
      </w:r>
      <w:r w:rsidRPr="00253CB9">
        <w:rPr>
          <w:vertAlign w:val="subscript"/>
        </w:rPr>
        <w:t>2</w:t>
      </w:r>
      <w:r w:rsidRPr="006A054D">
        <w:t xml:space="preserve"> (40, 63, 79 EUR/t) a na předpokladech výpočtu v rozmezí 88-99 EUR/</w:t>
      </w:r>
      <w:proofErr w:type="spellStart"/>
      <w:r w:rsidRPr="006A054D">
        <w:t>MWh</w:t>
      </w:r>
      <w:proofErr w:type="spellEnd"/>
      <w:r w:rsidRPr="006A054D">
        <w:t xml:space="preserve"> a pro černouhelnou elektrárnu 93-118 EUR/</w:t>
      </w:r>
      <w:proofErr w:type="spellStart"/>
      <w:r w:rsidRPr="006A054D">
        <w:t>MWh</w:t>
      </w:r>
      <w:proofErr w:type="spellEnd"/>
      <w:r w:rsidRPr="006A054D">
        <w:t xml:space="preserve"> v cenové úrovní roku 2015.</w:t>
      </w:r>
    </w:p>
    <w:p w:rsidR="009E13DB" w:rsidRPr="008434AC" w:rsidRDefault="009E13DB" w:rsidP="009E13DB">
      <w:pPr>
        <w:tabs>
          <w:tab w:val="left" w:pos="0"/>
        </w:tabs>
        <w:spacing w:line="240" w:lineRule="auto"/>
        <w:jc w:val="both"/>
        <w:rPr>
          <w:rFonts w:cs="Arial"/>
        </w:rPr>
      </w:pPr>
      <w:r w:rsidRPr="006A054D">
        <w:rPr>
          <w:rFonts w:cs="Arial"/>
        </w:rPr>
        <w:lastRenderedPageBreak/>
        <w:t xml:space="preserve">Pro další analýzy dopadů budeme uvažovat 5 </w:t>
      </w:r>
      <w:r w:rsidRPr="008434AC">
        <w:rPr>
          <w:rFonts w:cs="Arial"/>
        </w:rPr>
        <w:t>scénářů:</w:t>
      </w:r>
    </w:p>
    <w:p w:rsidR="009E13DB" w:rsidRPr="008434AC" w:rsidRDefault="009E13DB" w:rsidP="0044189F">
      <w:pPr>
        <w:pStyle w:val="Odstavecseseznamem"/>
        <w:numPr>
          <w:ilvl w:val="0"/>
          <w:numId w:val="57"/>
        </w:numPr>
        <w:tabs>
          <w:tab w:val="left" w:pos="0"/>
        </w:tabs>
        <w:ind w:left="714" w:hanging="357"/>
        <w:jc w:val="both"/>
        <w:rPr>
          <w:rFonts w:cs="Arial"/>
          <w:b/>
        </w:rPr>
      </w:pPr>
      <w:r w:rsidRPr="008434AC">
        <w:rPr>
          <w:rFonts w:cs="Arial"/>
        </w:rPr>
        <w:t xml:space="preserve">krajní scénáře pro ceny elektřiny stanovené do roku 2030, tj. ceny </w:t>
      </w:r>
      <w:r w:rsidRPr="008434AC">
        <w:rPr>
          <w:rFonts w:cs="Arial"/>
          <w:b/>
        </w:rPr>
        <w:t>62 a 76 EUR/</w:t>
      </w:r>
      <w:proofErr w:type="spellStart"/>
      <w:r w:rsidRPr="008434AC">
        <w:rPr>
          <w:rFonts w:cs="Arial"/>
          <w:b/>
        </w:rPr>
        <w:t>MWh</w:t>
      </w:r>
      <w:proofErr w:type="spellEnd"/>
      <w:r w:rsidRPr="008434AC">
        <w:rPr>
          <w:rFonts w:cs="Arial"/>
          <w:b/>
        </w:rPr>
        <w:t>,</w:t>
      </w:r>
    </w:p>
    <w:p w:rsidR="009E13DB" w:rsidRPr="008434AC" w:rsidRDefault="009E13DB" w:rsidP="0044189F">
      <w:pPr>
        <w:pStyle w:val="Odstavecseseznamem"/>
        <w:numPr>
          <w:ilvl w:val="0"/>
          <w:numId w:val="57"/>
        </w:numPr>
        <w:tabs>
          <w:tab w:val="left" w:pos="0"/>
        </w:tabs>
        <w:ind w:left="714" w:hanging="357"/>
        <w:jc w:val="both"/>
        <w:rPr>
          <w:rFonts w:cs="Arial"/>
        </w:rPr>
      </w:pPr>
      <w:r w:rsidRPr="008434AC">
        <w:rPr>
          <w:rFonts w:cs="Arial"/>
        </w:rPr>
        <w:t xml:space="preserve">krajní scénáře cen stanovené plnými náklady paroplynové elektrárny, tj. ceny </w:t>
      </w:r>
      <w:r w:rsidRPr="008434AC">
        <w:rPr>
          <w:b/>
        </w:rPr>
        <w:t>88 a 99</w:t>
      </w:r>
      <w:r w:rsidRPr="008434AC">
        <w:t xml:space="preserve"> </w:t>
      </w:r>
      <w:r w:rsidRPr="006A054D">
        <w:rPr>
          <w:b/>
        </w:rPr>
        <w:t>EUR/</w:t>
      </w:r>
      <w:proofErr w:type="spellStart"/>
      <w:r w:rsidRPr="006A054D">
        <w:rPr>
          <w:b/>
        </w:rPr>
        <w:t>MWh</w:t>
      </w:r>
      <w:proofErr w:type="spellEnd"/>
      <w:r w:rsidR="001F4DB3" w:rsidRPr="001F4DB3">
        <w:t>,</w:t>
      </w:r>
    </w:p>
    <w:p w:rsidR="009E13DB" w:rsidRPr="008434AC" w:rsidRDefault="009E13DB" w:rsidP="0044189F">
      <w:pPr>
        <w:pStyle w:val="Odstavecseseznamem"/>
        <w:numPr>
          <w:ilvl w:val="0"/>
          <w:numId w:val="57"/>
        </w:numPr>
        <w:tabs>
          <w:tab w:val="left" w:pos="0"/>
        </w:tabs>
        <w:ind w:left="714" w:hanging="357"/>
        <w:jc w:val="both"/>
        <w:rPr>
          <w:rFonts w:cs="Arial"/>
        </w:rPr>
      </w:pPr>
      <w:r w:rsidRPr="008434AC">
        <w:t xml:space="preserve">současnou úroveň </w:t>
      </w:r>
      <w:r w:rsidR="007F570D">
        <w:t>forwardových</w:t>
      </w:r>
      <w:r w:rsidRPr="008434AC">
        <w:t xml:space="preserve"> cen na burze </w:t>
      </w:r>
      <w:r w:rsidRPr="006A054D">
        <w:rPr>
          <w:b/>
        </w:rPr>
        <w:t>35 EUR/</w:t>
      </w:r>
      <w:proofErr w:type="spellStart"/>
      <w:r w:rsidRPr="006A054D">
        <w:rPr>
          <w:b/>
        </w:rPr>
        <w:t>MWh</w:t>
      </w:r>
      <w:proofErr w:type="spellEnd"/>
      <w:r w:rsidRPr="001F4DB3">
        <w:t>.</w:t>
      </w:r>
    </w:p>
    <w:p w:rsidR="009E13DB" w:rsidRPr="00417D3A" w:rsidRDefault="009E13DB" w:rsidP="00253CB9">
      <w:pPr>
        <w:pStyle w:val="Nadpis3"/>
        <w:keepLines w:val="0"/>
      </w:pPr>
      <w:bookmarkStart w:id="229" w:name="_Toc402949121"/>
      <w:bookmarkStart w:id="230" w:name="_Toc407035618"/>
      <w:bookmarkStart w:id="231" w:name="_Toc420056032"/>
      <w:r w:rsidRPr="00417D3A">
        <w:t>Zajištění návratnosti investice</w:t>
      </w:r>
      <w:bookmarkEnd w:id="229"/>
      <w:r>
        <w:t xml:space="preserve"> ve variantě s použitím </w:t>
      </w:r>
      <w:proofErr w:type="spellStart"/>
      <w:r>
        <w:t>CfD</w:t>
      </w:r>
      <w:bookmarkEnd w:id="230"/>
      <w:bookmarkEnd w:id="231"/>
      <w:proofErr w:type="spellEnd"/>
    </w:p>
    <w:p w:rsidR="009E13DB" w:rsidRPr="00FE3A36" w:rsidRDefault="009E13DB" w:rsidP="00253CB9">
      <w:pPr>
        <w:keepNext/>
        <w:spacing w:line="240" w:lineRule="auto"/>
        <w:jc w:val="both"/>
        <w:rPr>
          <w:rFonts w:cs="Arial"/>
          <w:u w:val="single"/>
        </w:rPr>
      </w:pPr>
      <w:r w:rsidRPr="00FE3A36">
        <w:rPr>
          <w:rFonts w:cs="Arial"/>
          <w:u w:val="single"/>
        </w:rPr>
        <w:t>Potřebná výše ceny elektřiny</w:t>
      </w:r>
    </w:p>
    <w:p w:rsidR="009E13DB" w:rsidRDefault="009E13DB" w:rsidP="009E13DB">
      <w:pPr>
        <w:tabs>
          <w:tab w:val="left" w:pos="0"/>
        </w:tabs>
        <w:spacing w:line="240" w:lineRule="auto"/>
        <w:jc w:val="both"/>
        <w:rPr>
          <w:rFonts w:cs="Arial"/>
        </w:rPr>
      </w:pPr>
      <w:r>
        <w:rPr>
          <w:rFonts w:cs="Arial"/>
        </w:rPr>
        <w:t>Pro vyhodnocení požadované výše ceny elektřiny (strike-</w:t>
      </w:r>
      <w:proofErr w:type="spellStart"/>
      <w:r>
        <w:rPr>
          <w:rFonts w:cs="Arial"/>
        </w:rPr>
        <w:t>price</w:t>
      </w:r>
      <w:proofErr w:type="spellEnd"/>
      <w:r>
        <w:rPr>
          <w:rFonts w:cs="Arial"/>
        </w:rPr>
        <w:t>) v závislosti na nákladech financování uvažujeme:</w:t>
      </w:r>
    </w:p>
    <w:p w:rsidR="009E13DB" w:rsidRPr="00467E27" w:rsidRDefault="009E13DB" w:rsidP="0044189F">
      <w:pPr>
        <w:pStyle w:val="Odstavecseseznamem"/>
        <w:numPr>
          <w:ilvl w:val="0"/>
          <w:numId w:val="58"/>
        </w:numPr>
        <w:ind w:left="714" w:hanging="357"/>
        <w:jc w:val="both"/>
        <w:rPr>
          <w:rFonts w:cs="Arial"/>
        </w:rPr>
      </w:pPr>
      <w:r w:rsidRPr="00467E27">
        <w:rPr>
          <w:rFonts w:cs="Arial"/>
        </w:rPr>
        <w:t xml:space="preserve">scénáře délky </w:t>
      </w:r>
      <w:proofErr w:type="spellStart"/>
      <w:r w:rsidRPr="00467E27">
        <w:rPr>
          <w:rFonts w:cs="Arial"/>
        </w:rPr>
        <w:t>CfD</w:t>
      </w:r>
      <w:proofErr w:type="spellEnd"/>
      <w:r w:rsidRPr="00467E27">
        <w:rPr>
          <w:rFonts w:cs="Arial"/>
        </w:rPr>
        <w:t xml:space="preserve"> -</w:t>
      </w:r>
      <w:r w:rsidR="00253CB9">
        <w:rPr>
          <w:rFonts w:cs="Arial"/>
        </w:rPr>
        <w:t xml:space="preserve"> </w:t>
      </w:r>
      <w:r w:rsidRPr="00467E27">
        <w:rPr>
          <w:rFonts w:cs="Arial"/>
        </w:rPr>
        <w:t>15 let, 35 let a 60 let</w:t>
      </w:r>
    </w:p>
    <w:p w:rsidR="00253CB9" w:rsidRDefault="009E13DB" w:rsidP="0044189F">
      <w:pPr>
        <w:pStyle w:val="Odstavecseseznamem"/>
        <w:numPr>
          <w:ilvl w:val="0"/>
          <w:numId w:val="58"/>
        </w:numPr>
        <w:ind w:left="714" w:hanging="357"/>
        <w:jc w:val="both"/>
        <w:rPr>
          <w:rFonts w:cs="Arial"/>
        </w:rPr>
      </w:pPr>
      <w:r w:rsidRPr="00253CB9">
        <w:rPr>
          <w:rFonts w:cs="Arial"/>
        </w:rPr>
        <w:t>náklady financování ve výši</w:t>
      </w:r>
    </w:p>
    <w:p w:rsidR="009E13DB" w:rsidRPr="00253CB9" w:rsidRDefault="009E13DB" w:rsidP="0044189F">
      <w:pPr>
        <w:pStyle w:val="Odstavecseseznamem"/>
        <w:numPr>
          <w:ilvl w:val="1"/>
          <w:numId w:val="58"/>
        </w:numPr>
        <w:jc w:val="both"/>
        <w:rPr>
          <w:rFonts w:cs="Arial"/>
        </w:rPr>
      </w:pPr>
      <w:r w:rsidRPr="00253CB9">
        <w:rPr>
          <w:rFonts w:cs="Arial"/>
        </w:rPr>
        <w:t xml:space="preserve">6-9 % pro investora (nižší hodnota předpokládá </w:t>
      </w:r>
      <w:proofErr w:type="spellStart"/>
      <w:r w:rsidRPr="00253CB9">
        <w:rPr>
          <w:rFonts w:cs="Arial"/>
        </w:rPr>
        <w:t>CfD</w:t>
      </w:r>
      <w:proofErr w:type="spellEnd"/>
      <w:r w:rsidRPr="00253CB9">
        <w:rPr>
          <w:rFonts w:cs="Arial"/>
        </w:rPr>
        <w:t xml:space="preserve"> na období minimálně 35 let s významným krytím výstavbových a provozních rizik a vysokým objemem garancí dluhu)</w:t>
      </w:r>
    </w:p>
    <w:p w:rsidR="009E13DB" w:rsidRPr="00467E27" w:rsidRDefault="009E13DB" w:rsidP="0044189F">
      <w:pPr>
        <w:pStyle w:val="Odstavecseseznamem"/>
        <w:numPr>
          <w:ilvl w:val="1"/>
          <w:numId w:val="58"/>
        </w:numPr>
        <w:jc w:val="both"/>
        <w:rPr>
          <w:rFonts w:cs="Arial"/>
        </w:rPr>
      </w:pPr>
      <w:r w:rsidRPr="00467E27">
        <w:rPr>
          <w:rFonts w:cs="Arial"/>
        </w:rPr>
        <w:t xml:space="preserve">4-6 % pro výstavbu státem (4 % odpovídá historickému průměrnému výnosu </w:t>
      </w:r>
      <w:proofErr w:type="gramStart"/>
      <w:r w:rsidRPr="00467E27">
        <w:rPr>
          <w:rFonts w:cs="Arial"/>
        </w:rPr>
        <w:t>10ti</w:t>
      </w:r>
      <w:proofErr w:type="gramEnd"/>
      <w:r w:rsidRPr="00467E27">
        <w:rPr>
          <w:rFonts w:cs="Arial"/>
        </w:rPr>
        <w:t xml:space="preserve"> letých německých EUR dluhopisů)</w:t>
      </w:r>
    </w:p>
    <w:p w:rsidR="009E13DB" w:rsidRPr="00467E27" w:rsidRDefault="009E13DB" w:rsidP="0044189F">
      <w:pPr>
        <w:pStyle w:val="Odstavecseseznamem"/>
        <w:numPr>
          <w:ilvl w:val="0"/>
          <w:numId w:val="58"/>
        </w:numPr>
        <w:ind w:left="714" w:hanging="357"/>
        <w:jc w:val="both"/>
        <w:rPr>
          <w:rFonts w:cs="Arial"/>
        </w:rPr>
      </w:pPr>
      <w:r w:rsidRPr="00467E27">
        <w:rPr>
          <w:rFonts w:cs="Arial"/>
        </w:rPr>
        <w:t xml:space="preserve">nastavení </w:t>
      </w:r>
      <w:proofErr w:type="spellStart"/>
      <w:r w:rsidRPr="00467E27">
        <w:rPr>
          <w:rFonts w:cs="Arial"/>
        </w:rPr>
        <w:t>CfD</w:t>
      </w:r>
      <w:proofErr w:type="spellEnd"/>
      <w:r w:rsidRPr="00467E27">
        <w:rPr>
          <w:rFonts w:cs="Arial"/>
        </w:rPr>
        <w:t xml:space="preserve"> tak, aby eskalace strike ceny </w:t>
      </w:r>
      <w:proofErr w:type="spellStart"/>
      <w:r w:rsidRPr="00467E27">
        <w:rPr>
          <w:rFonts w:cs="Arial"/>
        </w:rPr>
        <w:t>CfD</w:t>
      </w:r>
      <w:proofErr w:type="spellEnd"/>
      <w:r w:rsidRPr="00467E27">
        <w:rPr>
          <w:rFonts w:cs="Arial"/>
        </w:rPr>
        <w:t xml:space="preserve"> odpovídala eskalaci investičních, provozních i finančních nákladů (v případě jiné eskalace v </w:t>
      </w:r>
      <w:proofErr w:type="spellStart"/>
      <w:r w:rsidRPr="00467E27">
        <w:rPr>
          <w:rFonts w:cs="Arial"/>
        </w:rPr>
        <w:t>CfD</w:t>
      </w:r>
      <w:proofErr w:type="spellEnd"/>
      <w:r w:rsidRPr="00467E27">
        <w:rPr>
          <w:rFonts w:cs="Arial"/>
        </w:rPr>
        <w:t xml:space="preserve"> a nákladech by bylo nutné do celkových nákladů připočítat i náklady na zajištění těchto rizik)</w:t>
      </w:r>
    </w:p>
    <w:p w:rsidR="009E13DB" w:rsidRPr="00467E27" w:rsidRDefault="009E13DB" w:rsidP="0044189F">
      <w:pPr>
        <w:pStyle w:val="Odstavecseseznamem"/>
        <w:numPr>
          <w:ilvl w:val="0"/>
          <w:numId w:val="58"/>
        </w:numPr>
        <w:ind w:left="714" w:hanging="357"/>
        <w:jc w:val="both"/>
        <w:rPr>
          <w:rFonts w:cs="Arial"/>
        </w:rPr>
      </w:pPr>
      <w:r w:rsidRPr="00467E27">
        <w:rPr>
          <w:rFonts w:cs="Arial"/>
        </w:rPr>
        <w:t>strike-</w:t>
      </w:r>
      <w:proofErr w:type="spellStart"/>
      <w:r w:rsidRPr="00467E27">
        <w:rPr>
          <w:rFonts w:cs="Arial"/>
        </w:rPr>
        <w:t>price</w:t>
      </w:r>
      <w:proofErr w:type="spellEnd"/>
      <w:r w:rsidRPr="00467E27">
        <w:rPr>
          <w:rFonts w:cs="Arial"/>
        </w:rPr>
        <w:t xml:space="preserve"> je dopočtena tak, aby za období trvání </w:t>
      </w:r>
      <w:proofErr w:type="spellStart"/>
      <w:r w:rsidRPr="00467E27">
        <w:rPr>
          <w:rFonts w:cs="Arial"/>
        </w:rPr>
        <w:t>CfD</w:t>
      </w:r>
      <w:proofErr w:type="spellEnd"/>
      <w:r w:rsidRPr="00467E27">
        <w:rPr>
          <w:rFonts w:cs="Arial"/>
        </w:rPr>
        <w:t xml:space="preserve"> bylo dosaženo požadované návratnosti.</w:t>
      </w:r>
    </w:p>
    <w:p w:rsidR="009E13DB" w:rsidRPr="00467E27" w:rsidRDefault="009E13DB" w:rsidP="0044189F">
      <w:pPr>
        <w:pStyle w:val="Odstavecseseznamem"/>
        <w:numPr>
          <w:ilvl w:val="0"/>
          <w:numId w:val="58"/>
        </w:numPr>
        <w:ind w:left="714" w:hanging="357"/>
        <w:jc w:val="both"/>
        <w:rPr>
          <w:rFonts w:cs="Arial"/>
        </w:rPr>
      </w:pPr>
      <w:r w:rsidRPr="00467E27">
        <w:rPr>
          <w:rFonts w:cs="Arial"/>
        </w:rPr>
        <w:t>strike-</w:t>
      </w:r>
      <w:proofErr w:type="spellStart"/>
      <w:r w:rsidRPr="00467E27">
        <w:rPr>
          <w:rFonts w:cs="Arial"/>
        </w:rPr>
        <w:t>price</w:t>
      </w:r>
      <w:proofErr w:type="spellEnd"/>
      <w:r w:rsidRPr="00467E27">
        <w:rPr>
          <w:rFonts w:cs="Arial"/>
        </w:rPr>
        <w:t xml:space="preserve"> bude testována, zda nepřekračuje hodnotu plných nákladů plynového zdroje 99 EUR/</w:t>
      </w:r>
      <w:proofErr w:type="spellStart"/>
      <w:r w:rsidRPr="00467E27">
        <w:rPr>
          <w:rFonts w:cs="Arial"/>
        </w:rPr>
        <w:t>MWh</w:t>
      </w:r>
      <w:proofErr w:type="spellEnd"/>
      <w:r w:rsidRPr="00467E27">
        <w:rPr>
          <w:rFonts w:cs="Arial"/>
        </w:rPr>
        <w:t xml:space="preserve"> </w:t>
      </w:r>
    </w:p>
    <w:p w:rsidR="00AA7720" w:rsidRPr="00AA7720" w:rsidRDefault="00AA7720" w:rsidP="00AA7720">
      <w:pPr>
        <w:pStyle w:val="Titulek"/>
        <w:keepNext/>
        <w:rPr>
          <w:color w:val="auto"/>
          <w:sz w:val="22"/>
        </w:rPr>
      </w:pPr>
      <w:bookmarkStart w:id="232" w:name="_Toc420058320"/>
      <w:r w:rsidRPr="00AA7720">
        <w:rPr>
          <w:color w:val="auto"/>
          <w:sz w:val="22"/>
        </w:rPr>
        <w:t xml:space="preserve">Tabulka č. </w:t>
      </w:r>
      <w:r w:rsidRPr="00AA7720">
        <w:rPr>
          <w:color w:val="auto"/>
          <w:sz w:val="22"/>
        </w:rPr>
        <w:fldChar w:fldCharType="begin"/>
      </w:r>
      <w:r w:rsidRPr="00AA7720">
        <w:rPr>
          <w:color w:val="auto"/>
          <w:sz w:val="22"/>
        </w:rPr>
        <w:instrText xml:space="preserve"> SEQ Tabulka_č. \* ARABIC </w:instrText>
      </w:r>
      <w:r w:rsidRPr="00AA7720">
        <w:rPr>
          <w:color w:val="auto"/>
          <w:sz w:val="22"/>
        </w:rPr>
        <w:fldChar w:fldCharType="separate"/>
      </w:r>
      <w:r w:rsidR="00FE1E1A">
        <w:rPr>
          <w:noProof/>
          <w:color w:val="auto"/>
          <w:sz w:val="22"/>
        </w:rPr>
        <w:t>16</w:t>
      </w:r>
      <w:r w:rsidRPr="00AA7720">
        <w:rPr>
          <w:color w:val="auto"/>
          <w:sz w:val="22"/>
        </w:rPr>
        <w:fldChar w:fldCharType="end"/>
      </w:r>
      <w:r w:rsidRPr="00AA7720">
        <w:rPr>
          <w:color w:val="auto"/>
          <w:sz w:val="22"/>
        </w:rPr>
        <w:t xml:space="preserve">: </w:t>
      </w:r>
      <w:r w:rsidRPr="00AA7720">
        <w:rPr>
          <w:rFonts w:cs="Arial"/>
          <w:b w:val="0"/>
          <w:i/>
          <w:color w:val="auto"/>
          <w:sz w:val="22"/>
        </w:rPr>
        <w:t>Náklady financování</w:t>
      </w:r>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6"/>
        <w:gridCol w:w="1316"/>
        <w:gridCol w:w="1316"/>
        <w:gridCol w:w="1316"/>
        <w:gridCol w:w="1316"/>
      </w:tblGrid>
      <w:tr w:rsidR="009E13DB" w:rsidRPr="0093170C" w:rsidTr="006D67EB">
        <w:tc>
          <w:tcPr>
            <w:tcW w:w="1315" w:type="dxa"/>
            <w:vMerge w:val="restart"/>
            <w:tcBorders>
              <w:top w:val="single" w:sz="12" w:space="0" w:color="auto"/>
              <w:left w:val="single" w:sz="12" w:space="0" w:color="auto"/>
            </w:tcBorders>
            <w:shd w:val="clear" w:color="auto" w:fill="auto"/>
            <w:vAlign w:val="center"/>
          </w:tcPr>
          <w:p w:rsidR="009E13DB" w:rsidRPr="0093170C" w:rsidRDefault="00E64D47" w:rsidP="006D67EB">
            <w:pPr>
              <w:spacing w:line="240" w:lineRule="auto"/>
              <w:rPr>
                <w:rFonts w:cs="Arial"/>
              </w:rPr>
            </w:pPr>
            <w:r>
              <w:rPr>
                <w:rFonts w:cs="Arial"/>
              </w:rPr>
              <w:t>Strike-</w:t>
            </w:r>
            <w:proofErr w:type="spellStart"/>
            <w:r>
              <w:rPr>
                <w:rFonts w:cs="Arial"/>
              </w:rPr>
              <w:t>price</w:t>
            </w:r>
            <w:proofErr w:type="spellEnd"/>
            <w:r>
              <w:rPr>
                <w:rFonts w:cs="Arial"/>
              </w:rPr>
              <w:t xml:space="preserve"> </w:t>
            </w:r>
            <w:r>
              <w:rPr>
                <w:rFonts w:cs="Arial"/>
                <w:lang w:val="en-US"/>
              </w:rPr>
              <w:t>[</w:t>
            </w:r>
            <w:r>
              <w:rPr>
                <w:rFonts w:cs="Arial"/>
              </w:rPr>
              <w:t>EUR/</w:t>
            </w:r>
            <w:proofErr w:type="spellStart"/>
            <w:r>
              <w:rPr>
                <w:rFonts w:cs="Arial"/>
              </w:rPr>
              <w:t>MWh</w:t>
            </w:r>
            <w:proofErr w:type="spellEnd"/>
            <w:r>
              <w:rPr>
                <w:rFonts w:cs="Arial"/>
              </w:rPr>
              <w:t>]</w:t>
            </w:r>
          </w:p>
        </w:tc>
        <w:tc>
          <w:tcPr>
            <w:tcW w:w="7895" w:type="dxa"/>
            <w:gridSpan w:val="6"/>
            <w:tcBorders>
              <w:top w:val="single" w:sz="12" w:space="0" w:color="auto"/>
              <w:right w:val="single" w:sz="12" w:space="0" w:color="auto"/>
            </w:tcBorders>
            <w:shd w:val="clear" w:color="auto" w:fill="auto"/>
          </w:tcPr>
          <w:p w:rsidR="009E13DB" w:rsidRPr="0093170C" w:rsidRDefault="009E13DB" w:rsidP="0047075F">
            <w:pPr>
              <w:spacing w:line="240" w:lineRule="auto"/>
              <w:jc w:val="center"/>
              <w:rPr>
                <w:rFonts w:cs="Arial"/>
                <w:lang w:val="en-US"/>
              </w:rPr>
            </w:pPr>
            <w:r w:rsidRPr="0093170C">
              <w:rPr>
                <w:rFonts w:cs="Arial"/>
              </w:rPr>
              <w:t xml:space="preserve">Náklady financování (nominální WACC v </w:t>
            </w:r>
            <w:r w:rsidRPr="0093170C">
              <w:rPr>
                <w:rFonts w:cs="Arial"/>
                <w:lang w:val="en-US"/>
              </w:rPr>
              <w:t>%)</w:t>
            </w:r>
          </w:p>
        </w:tc>
      </w:tr>
      <w:tr w:rsidR="009E13DB" w:rsidRPr="0093170C" w:rsidTr="006D67EB">
        <w:tc>
          <w:tcPr>
            <w:tcW w:w="1315" w:type="dxa"/>
            <w:vMerge/>
            <w:tcBorders>
              <w:left w:val="single" w:sz="12" w:space="0" w:color="auto"/>
            </w:tcBorders>
            <w:shd w:val="clear" w:color="auto" w:fill="auto"/>
          </w:tcPr>
          <w:p w:rsidR="009E13DB" w:rsidRPr="0093170C" w:rsidRDefault="009E13DB" w:rsidP="0047075F">
            <w:pPr>
              <w:spacing w:line="240" w:lineRule="auto"/>
              <w:rPr>
                <w:rFonts w:cs="Arial"/>
              </w:rPr>
            </w:pPr>
          </w:p>
        </w:tc>
        <w:tc>
          <w:tcPr>
            <w:tcW w:w="5263" w:type="dxa"/>
            <w:gridSpan w:val="4"/>
            <w:shd w:val="clear" w:color="auto" w:fill="548DD4"/>
          </w:tcPr>
          <w:p w:rsidR="009E13DB" w:rsidRPr="0093170C" w:rsidRDefault="009E13DB" w:rsidP="0047075F">
            <w:pPr>
              <w:spacing w:line="240" w:lineRule="auto"/>
              <w:jc w:val="center"/>
              <w:rPr>
                <w:rFonts w:cs="Arial"/>
              </w:rPr>
            </w:pPr>
            <w:r w:rsidRPr="0093170C">
              <w:rPr>
                <w:rFonts w:cs="Arial"/>
              </w:rPr>
              <w:t xml:space="preserve">Financování investorem při </w:t>
            </w:r>
            <w:proofErr w:type="spellStart"/>
            <w:r w:rsidRPr="0093170C">
              <w:rPr>
                <w:rFonts w:cs="Arial"/>
              </w:rPr>
              <w:t>CfD</w:t>
            </w:r>
            <w:proofErr w:type="spellEnd"/>
          </w:p>
        </w:tc>
        <w:tc>
          <w:tcPr>
            <w:tcW w:w="1316" w:type="dxa"/>
            <w:shd w:val="clear" w:color="auto" w:fill="auto"/>
          </w:tcPr>
          <w:p w:rsidR="009E13DB" w:rsidRPr="0093170C" w:rsidRDefault="009E13DB" w:rsidP="0047075F">
            <w:pPr>
              <w:spacing w:line="240" w:lineRule="auto"/>
              <w:rPr>
                <w:rFonts w:cs="Arial"/>
              </w:rPr>
            </w:pPr>
          </w:p>
        </w:tc>
        <w:tc>
          <w:tcPr>
            <w:tcW w:w="1316" w:type="dxa"/>
            <w:tcBorders>
              <w:right w:val="single" w:sz="12" w:space="0" w:color="auto"/>
            </w:tcBorders>
            <w:shd w:val="clear" w:color="auto" w:fill="auto"/>
          </w:tcPr>
          <w:p w:rsidR="009E13DB" w:rsidRPr="0093170C" w:rsidRDefault="009E13DB" w:rsidP="0047075F">
            <w:pPr>
              <w:spacing w:line="240" w:lineRule="auto"/>
              <w:rPr>
                <w:rFonts w:cs="Arial"/>
              </w:rPr>
            </w:pPr>
          </w:p>
        </w:tc>
      </w:tr>
      <w:tr w:rsidR="009E13DB" w:rsidRPr="0093170C" w:rsidTr="006D67EB">
        <w:tc>
          <w:tcPr>
            <w:tcW w:w="1315" w:type="dxa"/>
            <w:vMerge/>
            <w:tcBorders>
              <w:left w:val="single" w:sz="12" w:space="0" w:color="auto"/>
            </w:tcBorders>
            <w:shd w:val="clear" w:color="auto" w:fill="auto"/>
          </w:tcPr>
          <w:p w:rsidR="009E13DB" w:rsidRPr="0093170C" w:rsidRDefault="009E13DB" w:rsidP="0047075F">
            <w:pPr>
              <w:spacing w:line="240" w:lineRule="auto"/>
              <w:rPr>
                <w:rFonts w:cs="Arial"/>
              </w:rPr>
            </w:pPr>
          </w:p>
        </w:tc>
        <w:tc>
          <w:tcPr>
            <w:tcW w:w="1315" w:type="dxa"/>
            <w:shd w:val="clear" w:color="auto" w:fill="auto"/>
          </w:tcPr>
          <w:p w:rsidR="009E13DB" w:rsidRPr="0093170C" w:rsidRDefault="009E13DB" w:rsidP="0047075F">
            <w:pPr>
              <w:spacing w:line="240" w:lineRule="auto"/>
              <w:rPr>
                <w:rFonts w:cs="Arial"/>
              </w:rPr>
            </w:pPr>
          </w:p>
        </w:tc>
        <w:tc>
          <w:tcPr>
            <w:tcW w:w="1316" w:type="dxa"/>
            <w:shd w:val="clear" w:color="auto" w:fill="auto"/>
          </w:tcPr>
          <w:p w:rsidR="009E13DB" w:rsidRPr="0093170C" w:rsidRDefault="009E13DB" w:rsidP="0047075F">
            <w:pPr>
              <w:spacing w:line="240" w:lineRule="auto"/>
              <w:rPr>
                <w:rFonts w:cs="Arial"/>
              </w:rPr>
            </w:pPr>
          </w:p>
        </w:tc>
        <w:tc>
          <w:tcPr>
            <w:tcW w:w="1316" w:type="dxa"/>
            <w:shd w:val="clear" w:color="auto" w:fill="auto"/>
          </w:tcPr>
          <w:p w:rsidR="009E13DB" w:rsidRPr="0093170C" w:rsidRDefault="009E13DB" w:rsidP="0047075F">
            <w:pPr>
              <w:spacing w:line="240" w:lineRule="auto"/>
              <w:rPr>
                <w:rFonts w:cs="Arial"/>
              </w:rPr>
            </w:pPr>
          </w:p>
        </w:tc>
        <w:tc>
          <w:tcPr>
            <w:tcW w:w="3948" w:type="dxa"/>
            <w:gridSpan w:val="3"/>
            <w:tcBorders>
              <w:right w:val="single" w:sz="12" w:space="0" w:color="auto"/>
            </w:tcBorders>
            <w:shd w:val="clear" w:color="auto" w:fill="92D050"/>
          </w:tcPr>
          <w:p w:rsidR="009E13DB" w:rsidRPr="0093170C" w:rsidRDefault="009E13DB" w:rsidP="0047075F">
            <w:pPr>
              <w:spacing w:line="240" w:lineRule="auto"/>
              <w:jc w:val="center"/>
              <w:rPr>
                <w:rFonts w:cs="Arial"/>
              </w:rPr>
            </w:pPr>
            <w:r w:rsidRPr="0093170C">
              <w:rPr>
                <w:rFonts w:cs="Arial"/>
              </w:rPr>
              <w:t xml:space="preserve">Financování státem při </w:t>
            </w:r>
            <w:proofErr w:type="spellStart"/>
            <w:r w:rsidRPr="0093170C">
              <w:rPr>
                <w:rFonts w:cs="Arial"/>
              </w:rPr>
              <w:t>CfD</w:t>
            </w:r>
            <w:proofErr w:type="spellEnd"/>
          </w:p>
        </w:tc>
      </w:tr>
      <w:tr w:rsidR="009E13DB" w:rsidRPr="0093170C" w:rsidTr="006D67EB">
        <w:tc>
          <w:tcPr>
            <w:tcW w:w="1315" w:type="dxa"/>
            <w:vMerge/>
            <w:tcBorders>
              <w:left w:val="single" w:sz="12" w:space="0" w:color="auto"/>
            </w:tcBorders>
            <w:shd w:val="clear" w:color="auto" w:fill="auto"/>
          </w:tcPr>
          <w:p w:rsidR="009E13DB" w:rsidRPr="0093170C" w:rsidRDefault="009E13DB" w:rsidP="0047075F">
            <w:pPr>
              <w:spacing w:line="240" w:lineRule="auto"/>
              <w:rPr>
                <w:rFonts w:cs="Arial"/>
              </w:rPr>
            </w:pPr>
          </w:p>
        </w:tc>
        <w:tc>
          <w:tcPr>
            <w:tcW w:w="1315" w:type="dxa"/>
            <w:shd w:val="clear" w:color="auto" w:fill="auto"/>
          </w:tcPr>
          <w:p w:rsidR="009E13DB" w:rsidRPr="0093170C" w:rsidRDefault="009E13DB" w:rsidP="0047075F">
            <w:pPr>
              <w:spacing w:line="240" w:lineRule="auto"/>
              <w:rPr>
                <w:rFonts w:cs="Arial"/>
                <w:lang w:val="en-US"/>
              </w:rPr>
            </w:pPr>
            <w:r w:rsidRPr="0093170C">
              <w:rPr>
                <w:rFonts w:cs="Arial"/>
                <w:lang w:val="en-US"/>
              </w:rPr>
              <w:t>9%</w:t>
            </w:r>
          </w:p>
        </w:tc>
        <w:tc>
          <w:tcPr>
            <w:tcW w:w="1316" w:type="dxa"/>
            <w:shd w:val="clear" w:color="auto" w:fill="auto"/>
          </w:tcPr>
          <w:p w:rsidR="009E13DB" w:rsidRPr="0093170C" w:rsidRDefault="009E13DB" w:rsidP="0047075F">
            <w:pPr>
              <w:spacing w:line="240" w:lineRule="auto"/>
              <w:rPr>
                <w:rFonts w:cs="Arial"/>
              </w:rPr>
            </w:pPr>
            <w:r w:rsidRPr="0093170C">
              <w:rPr>
                <w:rFonts w:cs="Arial"/>
              </w:rPr>
              <w:t>8%</w:t>
            </w:r>
          </w:p>
        </w:tc>
        <w:tc>
          <w:tcPr>
            <w:tcW w:w="1316" w:type="dxa"/>
            <w:shd w:val="clear" w:color="auto" w:fill="auto"/>
          </w:tcPr>
          <w:p w:rsidR="009E13DB" w:rsidRPr="0093170C" w:rsidRDefault="009E13DB" w:rsidP="0047075F">
            <w:pPr>
              <w:spacing w:line="240" w:lineRule="auto"/>
              <w:rPr>
                <w:rFonts w:cs="Arial"/>
              </w:rPr>
            </w:pPr>
            <w:r w:rsidRPr="0093170C">
              <w:rPr>
                <w:rFonts w:cs="Arial"/>
              </w:rPr>
              <w:t>7%</w:t>
            </w:r>
          </w:p>
        </w:tc>
        <w:tc>
          <w:tcPr>
            <w:tcW w:w="1316" w:type="dxa"/>
            <w:shd w:val="clear" w:color="auto" w:fill="auto"/>
          </w:tcPr>
          <w:p w:rsidR="009E13DB" w:rsidRPr="0093170C" w:rsidRDefault="009E13DB" w:rsidP="0047075F">
            <w:pPr>
              <w:spacing w:line="240" w:lineRule="auto"/>
              <w:rPr>
                <w:rFonts w:cs="Arial"/>
              </w:rPr>
            </w:pPr>
            <w:r w:rsidRPr="0093170C">
              <w:rPr>
                <w:rFonts w:cs="Arial"/>
              </w:rPr>
              <w:t>6%</w:t>
            </w:r>
          </w:p>
        </w:tc>
        <w:tc>
          <w:tcPr>
            <w:tcW w:w="1316" w:type="dxa"/>
            <w:shd w:val="clear" w:color="auto" w:fill="auto"/>
          </w:tcPr>
          <w:p w:rsidR="009E13DB" w:rsidRPr="0093170C" w:rsidRDefault="009E13DB" w:rsidP="0047075F">
            <w:pPr>
              <w:spacing w:line="240" w:lineRule="auto"/>
              <w:rPr>
                <w:rFonts w:cs="Arial"/>
              </w:rPr>
            </w:pPr>
            <w:r w:rsidRPr="0093170C">
              <w:rPr>
                <w:rFonts w:cs="Arial"/>
              </w:rPr>
              <w:t>5%</w:t>
            </w:r>
          </w:p>
        </w:tc>
        <w:tc>
          <w:tcPr>
            <w:tcW w:w="1316" w:type="dxa"/>
            <w:tcBorders>
              <w:right w:val="single" w:sz="12" w:space="0" w:color="auto"/>
            </w:tcBorders>
            <w:shd w:val="clear" w:color="auto" w:fill="auto"/>
          </w:tcPr>
          <w:p w:rsidR="009E13DB" w:rsidRPr="0093170C" w:rsidRDefault="009E13DB" w:rsidP="0047075F">
            <w:pPr>
              <w:spacing w:line="240" w:lineRule="auto"/>
              <w:rPr>
                <w:rFonts w:cs="Arial"/>
              </w:rPr>
            </w:pPr>
            <w:r w:rsidRPr="0093170C">
              <w:rPr>
                <w:rFonts w:cs="Arial"/>
              </w:rPr>
              <w:t>4%</w:t>
            </w:r>
          </w:p>
        </w:tc>
      </w:tr>
      <w:tr w:rsidR="009E13DB" w:rsidRPr="0093170C" w:rsidTr="006D67EB">
        <w:tc>
          <w:tcPr>
            <w:tcW w:w="1315" w:type="dxa"/>
            <w:tcBorders>
              <w:left w:val="single" w:sz="12" w:space="0" w:color="auto"/>
            </w:tcBorders>
            <w:shd w:val="clear" w:color="auto" w:fill="auto"/>
          </w:tcPr>
          <w:p w:rsidR="009E13DB" w:rsidRPr="0093170C" w:rsidRDefault="009E13DB" w:rsidP="0047075F">
            <w:pPr>
              <w:spacing w:line="240" w:lineRule="auto"/>
              <w:rPr>
                <w:rFonts w:cs="Arial"/>
              </w:rPr>
            </w:pPr>
            <w:proofErr w:type="spellStart"/>
            <w:r w:rsidRPr="0093170C">
              <w:rPr>
                <w:rFonts w:cs="Arial"/>
              </w:rPr>
              <w:t>CfD</w:t>
            </w:r>
            <w:proofErr w:type="spellEnd"/>
            <w:r w:rsidRPr="0093170C">
              <w:rPr>
                <w:rFonts w:cs="Arial"/>
              </w:rPr>
              <w:t xml:space="preserve"> 60 let</w:t>
            </w:r>
          </w:p>
        </w:tc>
        <w:tc>
          <w:tcPr>
            <w:tcW w:w="1315" w:type="dxa"/>
            <w:shd w:val="clear" w:color="auto" w:fill="auto"/>
          </w:tcPr>
          <w:p w:rsidR="009E13DB" w:rsidRPr="0093170C" w:rsidRDefault="009E13DB" w:rsidP="0047075F">
            <w:pPr>
              <w:spacing w:line="240" w:lineRule="auto"/>
              <w:rPr>
                <w:rFonts w:cs="Arial"/>
              </w:rPr>
            </w:pPr>
            <w:r w:rsidRPr="0093170C">
              <w:rPr>
                <w:rFonts w:cs="Arial"/>
              </w:rPr>
              <w:t>92</w:t>
            </w:r>
          </w:p>
        </w:tc>
        <w:tc>
          <w:tcPr>
            <w:tcW w:w="1316" w:type="dxa"/>
            <w:shd w:val="clear" w:color="auto" w:fill="auto"/>
          </w:tcPr>
          <w:p w:rsidR="009E13DB" w:rsidRPr="0093170C" w:rsidRDefault="009E13DB" w:rsidP="0047075F">
            <w:pPr>
              <w:spacing w:line="240" w:lineRule="auto"/>
              <w:rPr>
                <w:rFonts w:cs="Arial"/>
              </w:rPr>
            </w:pPr>
            <w:r w:rsidRPr="0093170C">
              <w:rPr>
                <w:rFonts w:cs="Arial"/>
              </w:rPr>
              <w:t>79</w:t>
            </w:r>
          </w:p>
        </w:tc>
        <w:tc>
          <w:tcPr>
            <w:tcW w:w="1316" w:type="dxa"/>
            <w:shd w:val="clear" w:color="auto" w:fill="auto"/>
          </w:tcPr>
          <w:p w:rsidR="009E13DB" w:rsidRPr="0093170C" w:rsidRDefault="009E13DB" w:rsidP="0047075F">
            <w:pPr>
              <w:spacing w:line="240" w:lineRule="auto"/>
              <w:rPr>
                <w:rFonts w:cs="Arial"/>
                <w:lang w:val="en-US"/>
              </w:rPr>
            </w:pPr>
            <w:r w:rsidRPr="0093170C">
              <w:rPr>
                <w:rFonts w:cs="Arial"/>
                <w:lang w:val="en-US"/>
              </w:rPr>
              <w:t>68</w:t>
            </w:r>
          </w:p>
        </w:tc>
        <w:tc>
          <w:tcPr>
            <w:tcW w:w="1316" w:type="dxa"/>
            <w:shd w:val="clear" w:color="auto" w:fill="auto"/>
          </w:tcPr>
          <w:p w:rsidR="009E13DB" w:rsidRPr="0093170C" w:rsidRDefault="009E13DB" w:rsidP="0047075F">
            <w:pPr>
              <w:spacing w:line="240" w:lineRule="auto"/>
              <w:rPr>
                <w:rFonts w:cs="Arial"/>
              </w:rPr>
            </w:pPr>
            <w:r w:rsidRPr="0093170C">
              <w:rPr>
                <w:rFonts w:cs="Arial"/>
              </w:rPr>
              <w:t>59</w:t>
            </w:r>
          </w:p>
        </w:tc>
        <w:tc>
          <w:tcPr>
            <w:tcW w:w="1316" w:type="dxa"/>
            <w:shd w:val="clear" w:color="auto" w:fill="auto"/>
          </w:tcPr>
          <w:p w:rsidR="009E13DB" w:rsidRPr="0093170C" w:rsidRDefault="009E13DB" w:rsidP="0047075F">
            <w:pPr>
              <w:spacing w:line="240" w:lineRule="auto"/>
              <w:rPr>
                <w:rFonts w:cs="Arial"/>
              </w:rPr>
            </w:pPr>
            <w:r w:rsidRPr="0093170C">
              <w:rPr>
                <w:rFonts w:cs="Arial"/>
              </w:rPr>
              <w:t>51</w:t>
            </w:r>
          </w:p>
        </w:tc>
        <w:tc>
          <w:tcPr>
            <w:tcW w:w="1316" w:type="dxa"/>
            <w:tcBorders>
              <w:right w:val="single" w:sz="12" w:space="0" w:color="auto"/>
            </w:tcBorders>
            <w:shd w:val="clear" w:color="auto" w:fill="auto"/>
          </w:tcPr>
          <w:p w:rsidR="009E13DB" w:rsidRPr="0093170C" w:rsidRDefault="009E13DB" w:rsidP="0047075F">
            <w:pPr>
              <w:spacing w:line="240" w:lineRule="auto"/>
              <w:rPr>
                <w:rFonts w:cs="Arial"/>
              </w:rPr>
            </w:pPr>
            <w:r w:rsidRPr="0093170C">
              <w:rPr>
                <w:rFonts w:cs="Arial"/>
              </w:rPr>
              <w:t>44</w:t>
            </w:r>
          </w:p>
        </w:tc>
      </w:tr>
      <w:tr w:rsidR="009E13DB" w:rsidRPr="0093170C" w:rsidTr="006D67EB">
        <w:tc>
          <w:tcPr>
            <w:tcW w:w="1315" w:type="dxa"/>
            <w:tcBorders>
              <w:left w:val="single" w:sz="12" w:space="0" w:color="auto"/>
            </w:tcBorders>
            <w:shd w:val="clear" w:color="auto" w:fill="auto"/>
          </w:tcPr>
          <w:p w:rsidR="009E13DB" w:rsidRPr="0093170C" w:rsidRDefault="009E13DB" w:rsidP="0047075F">
            <w:pPr>
              <w:spacing w:line="240" w:lineRule="auto"/>
              <w:rPr>
                <w:rFonts w:cs="Arial"/>
              </w:rPr>
            </w:pPr>
            <w:proofErr w:type="spellStart"/>
            <w:r w:rsidRPr="0093170C">
              <w:rPr>
                <w:rFonts w:cs="Arial"/>
              </w:rPr>
              <w:t>CfD</w:t>
            </w:r>
            <w:proofErr w:type="spellEnd"/>
            <w:r w:rsidRPr="0093170C">
              <w:rPr>
                <w:rFonts w:cs="Arial"/>
              </w:rPr>
              <w:t xml:space="preserve"> 35 let</w:t>
            </w:r>
          </w:p>
        </w:tc>
        <w:tc>
          <w:tcPr>
            <w:tcW w:w="1315" w:type="dxa"/>
            <w:shd w:val="clear" w:color="auto" w:fill="auto"/>
          </w:tcPr>
          <w:p w:rsidR="009E13DB" w:rsidRPr="0093170C" w:rsidRDefault="009E13DB" w:rsidP="0047075F">
            <w:pPr>
              <w:spacing w:line="240" w:lineRule="auto"/>
              <w:rPr>
                <w:rFonts w:cs="Arial"/>
              </w:rPr>
            </w:pPr>
            <w:r w:rsidRPr="0093170C">
              <w:rPr>
                <w:rFonts w:cs="Arial"/>
              </w:rPr>
              <w:t>99</w:t>
            </w:r>
          </w:p>
        </w:tc>
        <w:tc>
          <w:tcPr>
            <w:tcW w:w="1316" w:type="dxa"/>
            <w:shd w:val="clear" w:color="auto" w:fill="8DB3E2"/>
          </w:tcPr>
          <w:p w:rsidR="009E13DB" w:rsidRPr="0093170C" w:rsidRDefault="009E13DB" w:rsidP="0047075F">
            <w:pPr>
              <w:spacing w:line="240" w:lineRule="auto"/>
              <w:rPr>
                <w:rFonts w:cs="Arial"/>
              </w:rPr>
            </w:pPr>
            <w:r w:rsidRPr="0093170C">
              <w:rPr>
                <w:rFonts w:cs="Arial"/>
              </w:rPr>
              <w:t>86</w:t>
            </w:r>
          </w:p>
        </w:tc>
        <w:tc>
          <w:tcPr>
            <w:tcW w:w="1316" w:type="dxa"/>
            <w:shd w:val="clear" w:color="auto" w:fill="auto"/>
          </w:tcPr>
          <w:p w:rsidR="009E13DB" w:rsidRPr="0093170C" w:rsidRDefault="009E13DB" w:rsidP="0047075F">
            <w:pPr>
              <w:spacing w:line="240" w:lineRule="auto"/>
              <w:rPr>
                <w:rFonts w:cs="Arial"/>
              </w:rPr>
            </w:pPr>
            <w:r w:rsidRPr="0093170C">
              <w:rPr>
                <w:rFonts w:cs="Arial"/>
              </w:rPr>
              <w:t>75</w:t>
            </w:r>
          </w:p>
        </w:tc>
        <w:tc>
          <w:tcPr>
            <w:tcW w:w="1316" w:type="dxa"/>
            <w:shd w:val="clear" w:color="auto" w:fill="8DB3E2"/>
          </w:tcPr>
          <w:p w:rsidR="009E13DB" w:rsidRPr="0093170C" w:rsidRDefault="009E13DB" w:rsidP="0047075F">
            <w:pPr>
              <w:spacing w:line="240" w:lineRule="auto"/>
              <w:rPr>
                <w:rFonts w:cs="Arial"/>
              </w:rPr>
            </w:pPr>
            <w:r w:rsidRPr="0093170C">
              <w:rPr>
                <w:rFonts w:cs="Arial"/>
              </w:rPr>
              <w:t>66</w:t>
            </w:r>
          </w:p>
        </w:tc>
        <w:tc>
          <w:tcPr>
            <w:tcW w:w="1316" w:type="dxa"/>
            <w:shd w:val="clear" w:color="auto" w:fill="auto"/>
          </w:tcPr>
          <w:p w:rsidR="009E13DB" w:rsidRPr="0093170C" w:rsidRDefault="009E13DB" w:rsidP="0047075F">
            <w:pPr>
              <w:spacing w:line="240" w:lineRule="auto"/>
              <w:rPr>
                <w:rFonts w:cs="Arial"/>
              </w:rPr>
            </w:pPr>
            <w:r w:rsidRPr="0093170C">
              <w:rPr>
                <w:rFonts w:cs="Arial"/>
              </w:rPr>
              <w:t>58</w:t>
            </w:r>
          </w:p>
        </w:tc>
        <w:tc>
          <w:tcPr>
            <w:tcW w:w="1316" w:type="dxa"/>
            <w:tcBorders>
              <w:right w:val="single" w:sz="12" w:space="0" w:color="auto"/>
            </w:tcBorders>
            <w:shd w:val="clear" w:color="auto" w:fill="8DB3E2"/>
          </w:tcPr>
          <w:p w:rsidR="009E13DB" w:rsidRPr="0093170C" w:rsidRDefault="009E13DB" w:rsidP="0047075F">
            <w:pPr>
              <w:spacing w:line="240" w:lineRule="auto"/>
              <w:rPr>
                <w:rFonts w:cs="Arial"/>
              </w:rPr>
            </w:pPr>
            <w:r w:rsidRPr="0093170C">
              <w:rPr>
                <w:rFonts w:cs="Arial"/>
              </w:rPr>
              <w:t>52</w:t>
            </w:r>
          </w:p>
        </w:tc>
      </w:tr>
      <w:tr w:rsidR="009E13DB" w:rsidRPr="0093170C" w:rsidTr="006D67EB">
        <w:tc>
          <w:tcPr>
            <w:tcW w:w="1315" w:type="dxa"/>
            <w:tcBorders>
              <w:left w:val="single" w:sz="12" w:space="0" w:color="auto"/>
              <w:bottom w:val="thinThickSmallGap" w:sz="24" w:space="0" w:color="auto"/>
            </w:tcBorders>
            <w:shd w:val="clear" w:color="auto" w:fill="auto"/>
          </w:tcPr>
          <w:p w:rsidR="009E13DB" w:rsidRPr="0093170C" w:rsidRDefault="009E13DB" w:rsidP="0047075F">
            <w:pPr>
              <w:spacing w:line="240" w:lineRule="auto"/>
              <w:rPr>
                <w:rFonts w:cs="Arial"/>
              </w:rPr>
            </w:pPr>
            <w:proofErr w:type="spellStart"/>
            <w:r w:rsidRPr="0093170C">
              <w:rPr>
                <w:rFonts w:cs="Arial"/>
              </w:rPr>
              <w:t>CfD</w:t>
            </w:r>
            <w:proofErr w:type="spellEnd"/>
            <w:r w:rsidRPr="0093170C">
              <w:rPr>
                <w:rFonts w:cs="Arial"/>
              </w:rPr>
              <w:t xml:space="preserve"> 15 let</w:t>
            </w:r>
          </w:p>
        </w:tc>
        <w:tc>
          <w:tcPr>
            <w:tcW w:w="1315" w:type="dxa"/>
            <w:tcBorders>
              <w:bottom w:val="thinThickSmallGap" w:sz="24" w:space="0" w:color="auto"/>
            </w:tcBorders>
            <w:shd w:val="clear" w:color="auto" w:fill="auto"/>
          </w:tcPr>
          <w:p w:rsidR="009E13DB" w:rsidRPr="0093170C" w:rsidRDefault="009E13DB" w:rsidP="0047075F">
            <w:pPr>
              <w:spacing w:line="240" w:lineRule="auto"/>
              <w:rPr>
                <w:rFonts w:cs="Arial"/>
              </w:rPr>
            </w:pPr>
            <w:r w:rsidRPr="0093170C">
              <w:rPr>
                <w:rFonts w:cs="Arial"/>
              </w:rPr>
              <w:t>128</w:t>
            </w:r>
          </w:p>
        </w:tc>
        <w:tc>
          <w:tcPr>
            <w:tcW w:w="1316" w:type="dxa"/>
            <w:tcBorders>
              <w:bottom w:val="thinThickSmallGap" w:sz="24" w:space="0" w:color="auto"/>
            </w:tcBorders>
            <w:shd w:val="clear" w:color="auto" w:fill="auto"/>
          </w:tcPr>
          <w:p w:rsidR="009E13DB" w:rsidRPr="0093170C" w:rsidRDefault="009E13DB" w:rsidP="0047075F">
            <w:pPr>
              <w:spacing w:line="240" w:lineRule="auto"/>
              <w:rPr>
                <w:rFonts w:cs="Arial"/>
              </w:rPr>
            </w:pPr>
            <w:r w:rsidRPr="0093170C">
              <w:rPr>
                <w:rFonts w:cs="Arial"/>
              </w:rPr>
              <w:t>114</w:t>
            </w:r>
          </w:p>
        </w:tc>
        <w:tc>
          <w:tcPr>
            <w:tcW w:w="1316" w:type="dxa"/>
            <w:tcBorders>
              <w:bottom w:val="thinThickSmallGap" w:sz="24" w:space="0" w:color="auto"/>
            </w:tcBorders>
            <w:shd w:val="clear" w:color="auto" w:fill="auto"/>
          </w:tcPr>
          <w:p w:rsidR="009E13DB" w:rsidRPr="0093170C" w:rsidRDefault="009E13DB" w:rsidP="0047075F">
            <w:pPr>
              <w:spacing w:line="240" w:lineRule="auto"/>
              <w:rPr>
                <w:rFonts w:cs="Arial"/>
              </w:rPr>
            </w:pPr>
            <w:r w:rsidRPr="0093170C">
              <w:rPr>
                <w:rFonts w:cs="Arial"/>
              </w:rPr>
              <w:t>103</w:t>
            </w:r>
          </w:p>
        </w:tc>
        <w:tc>
          <w:tcPr>
            <w:tcW w:w="1316" w:type="dxa"/>
            <w:tcBorders>
              <w:bottom w:val="thinThickSmallGap" w:sz="24" w:space="0" w:color="auto"/>
            </w:tcBorders>
            <w:shd w:val="clear" w:color="auto" w:fill="auto"/>
          </w:tcPr>
          <w:p w:rsidR="009E13DB" w:rsidRPr="0093170C" w:rsidRDefault="009E13DB" w:rsidP="0047075F">
            <w:pPr>
              <w:spacing w:line="240" w:lineRule="auto"/>
              <w:rPr>
                <w:rFonts w:cs="Arial"/>
              </w:rPr>
            </w:pPr>
            <w:r w:rsidRPr="0093170C">
              <w:rPr>
                <w:rFonts w:cs="Arial"/>
              </w:rPr>
              <w:t>92</w:t>
            </w:r>
          </w:p>
        </w:tc>
        <w:tc>
          <w:tcPr>
            <w:tcW w:w="1316" w:type="dxa"/>
            <w:tcBorders>
              <w:bottom w:val="thinThickSmallGap" w:sz="24" w:space="0" w:color="auto"/>
            </w:tcBorders>
            <w:shd w:val="clear" w:color="auto" w:fill="auto"/>
          </w:tcPr>
          <w:p w:rsidR="009E13DB" w:rsidRPr="0093170C" w:rsidRDefault="009E13DB" w:rsidP="0047075F">
            <w:pPr>
              <w:spacing w:line="240" w:lineRule="auto"/>
              <w:rPr>
                <w:rFonts w:cs="Arial"/>
              </w:rPr>
            </w:pPr>
            <w:r w:rsidRPr="0093170C">
              <w:rPr>
                <w:rFonts w:cs="Arial"/>
              </w:rPr>
              <w:t>83</w:t>
            </w:r>
          </w:p>
        </w:tc>
        <w:tc>
          <w:tcPr>
            <w:tcW w:w="1316" w:type="dxa"/>
            <w:tcBorders>
              <w:bottom w:val="thinThickSmallGap" w:sz="24" w:space="0" w:color="auto"/>
              <w:right w:val="single" w:sz="12" w:space="0" w:color="auto"/>
            </w:tcBorders>
            <w:shd w:val="clear" w:color="auto" w:fill="auto"/>
          </w:tcPr>
          <w:p w:rsidR="009E13DB" w:rsidRPr="0093170C" w:rsidRDefault="009E13DB" w:rsidP="0047075F">
            <w:pPr>
              <w:spacing w:line="240" w:lineRule="auto"/>
              <w:rPr>
                <w:rFonts w:cs="Arial"/>
              </w:rPr>
            </w:pPr>
            <w:r w:rsidRPr="0093170C">
              <w:rPr>
                <w:rFonts w:cs="Arial"/>
              </w:rPr>
              <w:t>76</w:t>
            </w:r>
          </w:p>
        </w:tc>
      </w:tr>
    </w:tbl>
    <w:p w:rsidR="009E13DB" w:rsidRPr="00AA7720" w:rsidRDefault="009E13DB" w:rsidP="009E13DB">
      <w:pPr>
        <w:spacing w:line="240" w:lineRule="auto"/>
        <w:rPr>
          <w:rFonts w:cs="Arial"/>
          <w:i/>
          <w:sz w:val="20"/>
        </w:rPr>
      </w:pPr>
      <w:r w:rsidRPr="00AA7720">
        <w:rPr>
          <w:rFonts w:cs="Arial"/>
          <w:i/>
          <w:sz w:val="20"/>
        </w:rPr>
        <w:t>Pozn.: Hodnoty jsou v cenách roku 2015</w:t>
      </w:r>
    </w:p>
    <w:p w:rsidR="009E13DB" w:rsidRDefault="009E13DB" w:rsidP="009E13DB">
      <w:pPr>
        <w:tabs>
          <w:tab w:val="left" w:pos="0"/>
        </w:tabs>
        <w:jc w:val="both"/>
        <w:rPr>
          <w:rFonts w:cs="Arial"/>
        </w:rPr>
      </w:pPr>
      <w:r>
        <w:rPr>
          <w:rFonts w:cs="Arial"/>
        </w:rPr>
        <w:t>Výsledky této analýzy je nutné brát jako orientační, neboť pro detailní výpočet potřebné strike-</w:t>
      </w:r>
      <w:proofErr w:type="spellStart"/>
      <w:r>
        <w:rPr>
          <w:rFonts w:cs="Arial"/>
        </w:rPr>
        <w:t>price</w:t>
      </w:r>
      <w:proofErr w:type="spellEnd"/>
      <w:r>
        <w:rPr>
          <w:rFonts w:cs="Arial"/>
        </w:rPr>
        <w:t xml:space="preserve"> je nutné stanovit řadu dalších okrajových podmínek a předpokladů. </w:t>
      </w:r>
    </w:p>
    <w:p w:rsidR="00D22FE5" w:rsidRDefault="00D22FE5">
      <w:pPr>
        <w:rPr>
          <w:rFonts w:cs="Arial"/>
        </w:rPr>
      </w:pPr>
      <w:r>
        <w:rPr>
          <w:rFonts w:cs="Arial"/>
        </w:rPr>
        <w:br w:type="page"/>
      </w:r>
    </w:p>
    <w:p w:rsidR="009E13DB" w:rsidRDefault="009E13DB" w:rsidP="009E13DB">
      <w:pPr>
        <w:tabs>
          <w:tab w:val="left" w:pos="0"/>
        </w:tabs>
        <w:jc w:val="both"/>
        <w:rPr>
          <w:rFonts w:cs="Arial"/>
        </w:rPr>
      </w:pPr>
      <w:r>
        <w:rPr>
          <w:rFonts w:cs="Arial"/>
        </w:rPr>
        <w:lastRenderedPageBreak/>
        <w:t>Z analýzy výšky strike-</w:t>
      </w:r>
      <w:proofErr w:type="spellStart"/>
      <w:r>
        <w:rPr>
          <w:rFonts w:cs="Arial"/>
        </w:rPr>
        <w:t>price</w:t>
      </w:r>
      <w:proofErr w:type="spellEnd"/>
      <w:r>
        <w:rPr>
          <w:rFonts w:cs="Arial"/>
        </w:rPr>
        <w:t xml:space="preserve"> pro </w:t>
      </w:r>
      <w:proofErr w:type="spellStart"/>
      <w:r>
        <w:rPr>
          <w:rFonts w:cs="Arial"/>
        </w:rPr>
        <w:t>CfD</w:t>
      </w:r>
      <w:proofErr w:type="spellEnd"/>
      <w:r>
        <w:rPr>
          <w:rFonts w:cs="Arial"/>
        </w:rPr>
        <w:t xml:space="preserve"> vyplývá, že zásadním parametrem je délka </w:t>
      </w:r>
      <w:proofErr w:type="spellStart"/>
      <w:r>
        <w:rPr>
          <w:rFonts w:cs="Arial"/>
        </w:rPr>
        <w:t>CfD</w:t>
      </w:r>
      <w:proofErr w:type="spellEnd"/>
      <w:r>
        <w:rPr>
          <w:rFonts w:cs="Arial"/>
        </w:rPr>
        <w:t>. Rozdíl mezi 15 a</w:t>
      </w:r>
      <w:r w:rsidR="00E963D2">
        <w:t> </w:t>
      </w:r>
      <w:r>
        <w:rPr>
          <w:rFonts w:cs="Arial"/>
        </w:rPr>
        <w:t>35 lety je 24-29 EUR/</w:t>
      </w:r>
      <w:proofErr w:type="spellStart"/>
      <w:r>
        <w:rPr>
          <w:rFonts w:cs="Arial"/>
        </w:rPr>
        <w:t>MWh</w:t>
      </w:r>
      <w:proofErr w:type="spellEnd"/>
      <w:r>
        <w:rPr>
          <w:rFonts w:cs="Arial"/>
        </w:rPr>
        <w:t xml:space="preserve">, naproti tomu rozdíl mezi </w:t>
      </w:r>
      <w:proofErr w:type="spellStart"/>
      <w:r>
        <w:rPr>
          <w:rFonts w:cs="Arial"/>
        </w:rPr>
        <w:t>CfD</w:t>
      </w:r>
      <w:proofErr w:type="spellEnd"/>
      <w:r>
        <w:rPr>
          <w:rFonts w:cs="Arial"/>
        </w:rPr>
        <w:t xml:space="preserve"> na 35 a 60 let 6-7 EUR/</w:t>
      </w:r>
      <w:proofErr w:type="spellStart"/>
      <w:r>
        <w:rPr>
          <w:rFonts w:cs="Arial"/>
        </w:rPr>
        <w:t>MWh</w:t>
      </w:r>
      <w:proofErr w:type="spellEnd"/>
      <w:r>
        <w:rPr>
          <w:rFonts w:cs="Arial"/>
        </w:rPr>
        <w:t xml:space="preserve">. Délka 60 let již nepřináší z pohledu potřebné výšky </w:t>
      </w:r>
      <w:proofErr w:type="spellStart"/>
      <w:r>
        <w:rPr>
          <w:rFonts w:cs="Arial"/>
        </w:rPr>
        <w:t>CfD</w:t>
      </w:r>
      <w:proofErr w:type="spellEnd"/>
      <w:r>
        <w:rPr>
          <w:rFonts w:cs="Arial"/>
        </w:rPr>
        <w:t xml:space="preserve"> významnou výhodu. </w:t>
      </w:r>
      <w:proofErr w:type="spellStart"/>
      <w:r>
        <w:rPr>
          <w:rFonts w:cs="Arial"/>
        </w:rPr>
        <w:t>CfD</w:t>
      </w:r>
      <w:proofErr w:type="spellEnd"/>
      <w:r>
        <w:rPr>
          <w:rFonts w:cs="Arial"/>
        </w:rPr>
        <w:t xml:space="preserve"> na 15 let při financování nad 6 </w:t>
      </w:r>
      <w:r w:rsidRPr="005A44A0">
        <w:rPr>
          <w:rFonts w:cs="Arial"/>
        </w:rPr>
        <w:t>% p</w:t>
      </w:r>
      <w:r>
        <w:rPr>
          <w:rFonts w:cs="Arial"/>
        </w:rPr>
        <w:t>řesahuje hodnotu plných nákladů plynového zdroje</w:t>
      </w:r>
      <w:r w:rsidR="00253CB9">
        <w:rPr>
          <w:rFonts w:cs="Arial"/>
        </w:rPr>
        <w:t>,</w:t>
      </w:r>
      <w:r>
        <w:rPr>
          <w:rFonts w:cs="Arial"/>
        </w:rPr>
        <w:t xml:space="preserve"> a tudíž není z nákladového pohledu pro ČR řešením. Z výše uvedeného vyplývá, že optimální délkou </w:t>
      </w:r>
      <w:proofErr w:type="spellStart"/>
      <w:r>
        <w:rPr>
          <w:rFonts w:cs="Arial"/>
        </w:rPr>
        <w:t>CfD</w:t>
      </w:r>
      <w:proofErr w:type="spellEnd"/>
      <w:r>
        <w:rPr>
          <w:rFonts w:cs="Arial"/>
        </w:rPr>
        <w:t xml:space="preserve"> je období kolem 35 let, kdy se významně snižuje požadovaná výška </w:t>
      </w:r>
      <w:proofErr w:type="spellStart"/>
      <w:r>
        <w:rPr>
          <w:rFonts w:cs="Arial"/>
        </w:rPr>
        <w:t>CfD</w:t>
      </w:r>
      <w:proofErr w:type="spellEnd"/>
      <w:r>
        <w:rPr>
          <w:rFonts w:cs="Arial"/>
        </w:rPr>
        <w:t xml:space="preserve"> a tím i potenciální negativní dopad na zákazníka. </w:t>
      </w:r>
    </w:p>
    <w:p w:rsidR="009E13DB" w:rsidRDefault="009E13DB" w:rsidP="009E13DB">
      <w:pPr>
        <w:tabs>
          <w:tab w:val="left" w:pos="0"/>
        </w:tabs>
        <w:jc w:val="both"/>
        <w:rPr>
          <w:rFonts w:cs="Arial"/>
        </w:rPr>
      </w:pPr>
      <w:r>
        <w:rPr>
          <w:rFonts w:cs="Arial"/>
        </w:rPr>
        <w:t xml:space="preserve">Z pohledu požadované návratnosti pro investora je rozdíl mezi 9-6 </w:t>
      </w:r>
      <w:r w:rsidRPr="00FE3A36">
        <w:rPr>
          <w:rFonts w:cs="Arial"/>
        </w:rPr>
        <w:t>% 33 EUR/</w:t>
      </w:r>
      <w:proofErr w:type="spellStart"/>
      <w:r w:rsidRPr="00FE3A36">
        <w:rPr>
          <w:rFonts w:cs="Arial"/>
        </w:rPr>
        <w:t>MWh</w:t>
      </w:r>
      <w:proofErr w:type="spellEnd"/>
      <w:r w:rsidRPr="00FE3A36">
        <w:rPr>
          <w:rFonts w:cs="Arial"/>
        </w:rPr>
        <w:t xml:space="preserve"> a p</w:t>
      </w:r>
      <w:r>
        <w:rPr>
          <w:rFonts w:cs="Arial"/>
        </w:rPr>
        <w:t xml:space="preserve">ři financování státem v rozmezí 4-6 </w:t>
      </w:r>
      <w:r w:rsidRPr="00FE3A36">
        <w:rPr>
          <w:rFonts w:cs="Arial"/>
        </w:rPr>
        <w:t>%</w:t>
      </w:r>
      <w:r>
        <w:rPr>
          <w:rFonts w:cs="Arial"/>
        </w:rPr>
        <w:t xml:space="preserve"> je 14 EUR/</w:t>
      </w:r>
      <w:proofErr w:type="spellStart"/>
      <w:r>
        <w:rPr>
          <w:rFonts w:cs="Arial"/>
        </w:rPr>
        <w:t>MWh</w:t>
      </w:r>
      <w:proofErr w:type="spellEnd"/>
      <w:r w:rsidRPr="00825F9E">
        <w:rPr>
          <w:rFonts w:cs="Arial"/>
        </w:rPr>
        <w:t xml:space="preserve"> </w:t>
      </w:r>
      <w:r>
        <w:rPr>
          <w:rFonts w:cs="Arial"/>
        </w:rPr>
        <w:t xml:space="preserve">při </w:t>
      </w:r>
      <w:proofErr w:type="spellStart"/>
      <w:r>
        <w:rPr>
          <w:rFonts w:cs="Arial"/>
        </w:rPr>
        <w:t>CfD</w:t>
      </w:r>
      <w:proofErr w:type="spellEnd"/>
      <w:r>
        <w:rPr>
          <w:rFonts w:cs="Arial"/>
        </w:rPr>
        <w:t xml:space="preserve"> na 35 let. Snížení potřebné výše </w:t>
      </w:r>
      <w:proofErr w:type="spellStart"/>
      <w:r>
        <w:rPr>
          <w:rFonts w:cs="Arial"/>
        </w:rPr>
        <w:t>CfD</w:t>
      </w:r>
      <w:proofErr w:type="spellEnd"/>
      <w:r>
        <w:rPr>
          <w:rFonts w:cs="Arial"/>
        </w:rPr>
        <w:t xml:space="preserve"> lze proto dosáhnout buď poskytnutím investorovi významné jistoty při nastavení </w:t>
      </w:r>
      <w:proofErr w:type="spellStart"/>
      <w:r>
        <w:rPr>
          <w:rFonts w:cs="Arial"/>
        </w:rPr>
        <w:t>CfD</w:t>
      </w:r>
      <w:proofErr w:type="spellEnd"/>
      <w:r>
        <w:rPr>
          <w:rFonts w:cs="Arial"/>
        </w:rPr>
        <w:t xml:space="preserve"> a udělením garancí, nebo zvolit přímé financování ze státního rozpočtu.</w:t>
      </w:r>
    </w:p>
    <w:p w:rsidR="009E13DB" w:rsidRPr="00FE3A36" w:rsidRDefault="009E13DB" w:rsidP="009E13DB">
      <w:pPr>
        <w:tabs>
          <w:tab w:val="left" w:pos="0"/>
        </w:tabs>
        <w:jc w:val="both"/>
        <w:rPr>
          <w:rFonts w:cs="Arial"/>
        </w:rPr>
      </w:pPr>
      <w:r>
        <w:rPr>
          <w:rFonts w:cs="Arial"/>
        </w:rPr>
        <w:t xml:space="preserve">Pro další posouzení zahrneme do posouzení hodnoty pro </w:t>
      </w:r>
      <w:proofErr w:type="spellStart"/>
      <w:r>
        <w:rPr>
          <w:rFonts w:cs="Arial"/>
        </w:rPr>
        <w:t>CfD</w:t>
      </w:r>
      <w:proofErr w:type="spellEnd"/>
      <w:r>
        <w:rPr>
          <w:rFonts w:cs="Arial"/>
        </w:rPr>
        <w:t xml:space="preserve"> 35 let a financování pro 8, 6 a 4 </w:t>
      </w:r>
      <w:r w:rsidRPr="00FE3A36">
        <w:rPr>
          <w:rFonts w:cs="Arial"/>
        </w:rPr>
        <w:t>%</w:t>
      </w:r>
      <w:r>
        <w:rPr>
          <w:rFonts w:cs="Arial"/>
        </w:rPr>
        <w:t xml:space="preserve"> (zvýrazněné v tabulce)</w:t>
      </w:r>
      <w:r w:rsidRPr="00FE3A36">
        <w:rPr>
          <w:rFonts w:cs="Arial"/>
        </w:rPr>
        <w:t>, kde 8</w:t>
      </w:r>
      <w:r>
        <w:rPr>
          <w:rFonts w:cs="Arial"/>
        </w:rPr>
        <w:t xml:space="preserve"> </w:t>
      </w:r>
      <w:r w:rsidRPr="00FE3A36">
        <w:rPr>
          <w:rFonts w:cs="Arial"/>
        </w:rPr>
        <w:t xml:space="preserve">% </w:t>
      </w:r>
      <w:r>
        <w:rPr>
          <w:rFonts w:cs="Arial"/>
        </w:rPr>
        <w:t xml:space="preserve">bude </w:t>
      </w:r>
      <w:r w:rsidRPr="00FE3A36">
        <w:rPr>
          <w:rFonts w:cs="Arial"/>
        </w:rPr>
        <w:t>re</w:t>
      </w:r>
      <w:r w:rsidRPr="000B1AE1">
        <w:rPr>
          <w:rFonts w:cs="Arial"/>
        </w:rPr>
        <w:t>prezent</w:t>
      </w:r>
      <w:r>
        <w:rPr>
          <w:rFonts w:cs="Arial"/>
        </w:rPr>
        <w:t>ovat</w:t>
      </w:r>
      <w:r w:rsidRPr="00FE3A36">
        <w:rPr>
          <w:rFonts w:cs="Arial"/>
        </w:rPr>
        <w:t xml:space="preserve"> </w:t>
      </w:r>
      <w:proofErr w:type="spellStart"/>
      <w:r w:rsidRPr="00FE3A36">
        <w:rPr>
          <w:rFonts w:cs="Arial"/>
        </w:rPr>
        <w:t>CfD</w:t>
      </w:r>
      <w:proofErr w:type="spellEnd"/>
      <w:r w:rsidRPr="00FE3A36">
        <w:rPr>
          <w:rFonts w:cs="Arial"/>
        </w:rPr>
        <w:t xml:space="preserve"> p</w:t>
      </w:r>
      <w:r>
        <w:rPr>
          <w:rFonts w:cs="Arial"/>
        </w:rPr>
        <w:t>ři financování</w:t>
      </w:r>
      <w:r w:rsidRPr="00FE3A36">
        <w:rPr>
          <w:rFonts w:cs="Arial"/>
        </w:rPr>
        <w:t xml:space="preserve"> investorem, 6</w:t>
      </w:r>
      <w:r>
        <w:rPr>
          <w:rFonts w:cs="Arial"/>
        </w:rPr>
        <w:t xml:space="preserve"> </w:t>
      </w:r>
      <w:r w:rsidRPr="00FE3A36">
        <w:rPr>
          <w:rFonts w:cs="Arial"/>
        </w:rPr>
        <w:t xml:space="preserve">% </w:t>
      </w:r>
      <w:proofErr w:type="spellStart"/>
      <w:r w:rsidRPr="00FE3A36">
        <w:rPr>
          <w:rFonts w:cs="Arial"/>
        </w:rPr>
        <w:t>CfD</w:t>
      </w:r>
      <w:proofErr w:type="spellEnd"/>
      <w:r w:rsidRPr="00FE3A36">
        <w:rPr>
          <w:rFonts w:cs="Arial"/>
        </w:rPr>
        <w:t xml:space="preserve"> při fina</w:t>
      </w:r>
      <w:r w:rsidRPr="000B1AE1">
        <w:rPr>
          <w:rFonts w:cs="Arial"/>
        </w:rPr>
        <w:t>ncování investor</w:t>
      </w:r>
      <w:r>
        <w:rPr>
          <w:rFonts w:cs="Arial"/>
        </w:rPr>
        <w:t>em</w:t>
      </w:r>
      <w:r w:rsidRPr="000B1AE1">
        <w:rPr>
          <w:rFonts w:cs="Arial"/>
        </w:rPr>
        <w:t xml:space="preserve"> s</w:t>
      </w:r>
      <w:r>
        <w:rPr>
          <w:rFonts w:cs="Arial"/>
        </w:rPr>
        <w:t xml:space="preserve"> mimořádným </w:t>
      </w:r>
      <w:r w:rsidRPr="000B1AE1">
        <w:rPr>
          <w:rFonts w:cs="Arial"/>
        </w:rPr>
        <w:t>pokr</w:t>
      </w:r>
      <w:r w:rsidRPr="00FE3A36">
        <w:rPr>
          <w:rFonts w:cs="Arial"/>
        </w:rPr>
        <w:t xml:space="preserve">ytím </w:t>
      </w:r>
      <w:r>
        <w:rPr>
          <w:rFonts w:cs="Arial"/>
        </w:rPr>
        <w:t xml:space="preserve">výstavbových a provozních </w:t>
      </w:r>
      <w:r w:rsidRPr="00FE3A36">
        <w:rPr>
          <w:rFonts w:cs="Arial"/>
        </w:rPr>
        <w:t xml:space="preserve">rizik skrze </w:t>
      </w:r>
      <w:proofErr w:type="spellStart"/>
      <w:r w:rsidRPr="00FE3A36">
        <w:rPr>
          <w:rFonts w:cs="Arial"/>
        </w:rPr>
        <w:t>CfD</w:t>
      </w:r>
      <w:proofErr w:type="spellEnd"/>
      <w:r w:rsidRPr="00FE3A36">
        <w:rPr>
          <w:rFonts w:cs="Arial"/>
        </w:rPr>
        <w:t xml:space="preserve"> </w:t>
      </w:r>
      <w:r>
        <w:rPr>
          <w:rFonts w:cs="Arial"/>
        </w:rPr>
        <w:t>a</w:t>
      </w:r>
      <w:r w:rsidR="00AA7720">
        <w:rPr>
          <w:rFonts w:cs="Arial"/>
        </w:rPr>
        <w:t> </w:t>
      </w:r>
      <w:r>
        <w:rPr>
          <w:rFonts w:cs="Arial"/>
        </w:rPr>
        <w:t xml:space="preserve">poskytnutí vysokého objemu garancí za dluh státem a 6 </w:t>
      </w:r>
      <w:r w:rsidRPr="00B614BB">
        <w:rPr>
          <w:rFonts w:cs="Arial"/>
        </w:rPr>
        <w:t xml:space="preserve">% a </w:t>
      </w:r>
      <w:r>
        <w:rPr>
          <w:rFonts w:cs="Arial"/>
        </w:rPr>
        <w:t xml:space="preserve">4 </w:t>
      </w:r>
      <w:r w:rsidRPr="00FE3A36">
        <w:rPr>
          <w:rFonts w:cs="Arial"/>
        </w:rPr>
        <w:t xml:space="preserve">% </w:t>
      </w:r>
      <w:r>
        <w:rPr>
          <w:rFonts w:cs="Arial"/>
        </w:rPr>
        <w:t xml:space="preserve">financování státem ze státních prostředků. Předpokládané hodnoty je nutné stále považovat za velmi předběžné, neboť silně závisí na konkrétním rozložení rizik zejména při nastavení </w:t>
      </w:r>
      <w:proofErr w:type="spellStart"/>
      <w:r>
        <w:rPr>
          <w:rFonts w:cs="Arial"/>
        </w:rPr>
        <w:t>CfD</w:t>
      </w:r>
      <w:proofErr w:type="spellEnd"/>
      <w:r>
        <w:rPr>
          <w:rFonts w:cs="Arial"/>
        </w:rPr>
        <w:t xml:space="preserve">, garancích, výstavbě, provozu, odstavení zdroje </w:t>
      </w:r>
      <w:r w:rsidR="00253CB9">
        <w:rPr>
          <w:rFonts w:cs="Arial"/>
        </w:rPr>
        <w:t>i finančním zajištění výstavby.</w:t>
      </w:r>
    </w:p>
    <w:p w:rsidR="009E13DB" w:rsidRPr="00FE3A36" w:rsidRDefault="009E13DB" w:rsidP="009E13DB">
      <w:pPr>
        <w:spacing w:line="240" w:lineRule="auto"/>
        <w:jc w:val="both"/>
        <w:rPr>
          <w:rFonts w:cs="Arial"/>
          <w:u w:val="single"/>
        </w:rPr>
      </w:pPr>
      <w:r w:rsidRPr="00FE3A36">
        <w:rPr>
          <w:rFonts w:cs="Arial"/>
          <w:u w:val="single"/>
        </w:rPr>
        <w:t>Analýza dopadu na rozpočet a spotřebitele:</w:t>
      </w:r>
    </w:p>
    <w:p w:rsidR="009E13DB" w:rsidRDefault="009E13DB" w:rsidP="009E13DB">
      <w:pPr>
        <w:tabs>
          <w:tab w:val="left" w:pos="0"/>
        </w:tabs>
        <w:jc w:val="both"/>
        <w:rPr>
          <w:rFonts w:cs="Arial"/>
        </w:rPr>
      </w:pPr>
      <w:r>
        <w:rPr>
          <w:rFonts w:cs="Arial"/>
        </w:rPr>
        <w:t xml:space="preserve">Jelikož je </w:t>
      </w:r>
      <w:proofErr w:type="spellStart"/>
      <w:r>
        <w:rPr>
          <w:rFonts w:cs="Arial"/>
        </w:rPr>
        <w:t>CfD</w:t>
      </w:r>
      <w:proofErr w:type="spellEnd"/>
      <w:r>
        <w:rPr>
          <w:rFonts w:cs="Arial"/>
        </w:rPr>
        <w:t xml:space="preserve"> možné adresovat jak na spotřebitele, tak na stát, jsou dále z pohledu dopadu na zákazníka a na státní rozpočet analyzovány čtyři varianty:</w:t>
      </w:r>
    </w:p>
    <w:p w:rsidR="00AA7720" w:rsidRPr="00AA7720" w:rsidRDefault="00AA7720" w:rsidP="00AA7720">
      <w:pPr>
        <w:pStyle w:val="Titulek"/>
        <w:keepNext/>
        <w:rPr>
          <w:color w:val="auto"/>
          <w:sz w:val="22"/>
        </w:rPr>
      </w:pPr>
      <w:bookmarkStart w:id="233" w:name="_Toc420058321"/>
      <w:r w:rsidRPr="00AA7720">
        <w:rPr>
          <w:color w:val="auto"/>
          <w:sz w:val="22"/>
        </w:rPr>
        <w:t xml:space="preserve">Tabulka č. </w:t>
      </w:r>
      <w:r w:rsidRPr="00AA7720">
        <w:rPr>
          <w:color w:val="auto"/>
          <w:sz w:val="22"/>
        </w:rPr>
        <w:fldChar w:fldCharType="begin"/>
      </w:r>
      <w:r w:rsidRPr="00AA7720">
        <w:rPr>
          <w:color w:val="auto"/>
          <w:sz w:val="22"/>
        </w:rPr>
        <w:instrText xml:space="preserve"> SEQ Tabulka_č. \* ARABIC </w:instrText>
      </w:r>
      <w:r w:rsidRPr="00AA7720">
        <w:rPr>
          <w:color w:val="auto"/>
          <w:sz w:val="22"/>
        </w:rPr>
        <w:fldChar w:fldCharType="separate"/>
      </w:r>
      <w:r w:rsidR="00FE1E1A">
        <w:rPr>
          <w:noProof/>
          <w:color w:val="auto"/>
          <w:sz w:val="22"/>
        </w:rPr>
        <w:t>17</w:t>
      </w:r>
      <w:r w:rsidRPr="00AA7720">
        <w:rPr>
          <w:color w:val="auto"/>
          <w:sz w:val="22"/>
        </w:rPr>
        <w:fldChar w:fldCharType="end"/>
      </w:r>
      <w:r w:rsidRPr="00AA7720">
        <w:rPr>
          <w:color w:val="auto"/>
          <w:sz w:val="22"/>
        </w:rPr>
        <w:t xml:space="preserve">: </w:t>
      </w:r>
      <w:r w:rsidRPr="00AA7720">
        <w:rPr>
          <w:rFonts w:cs="Arial"/>
          <w:b w:val="0"/>
          <w:i/>
          <w:color w:val="auto"/>
          <w:sz w:val="22"/>
        </w:rPr>
        <w:t>Varianty financování a garance návratnosti</w:t>
      </w:r>
      <w:bookmarkEnd w:id="233"/>
    </w:p>
    <w:tbl>
      <w:tblPr>
        <w:tblW w:w="5103" w:type="dxa"/>
        <w:jc w:val="center"/>
        <w:tblLayout w:type="fixed"/>
        <w:tblCellMar>
          <w:left w:w="0" w:type="dxa"/>
          <w:right w:w="0" w:type="dxa"/>
        </w:tblCellMar>
        <w:tblLook w:val="0420" w:firstRow="1" w:lastRow="0" w:firstColumn="0" w:lastColumn="0" w:noHBand="0" w:noVBand="1"/>
      </w:tblPr>
      <w:tblGrid>
        <w:gridCol w:w="1323"/>
        <w:gridCol w:w="1189"/>
        <w:gridCol w:w="1457"/>
        <w:gridCol w:w="1134"/>
      </w:tblGrid>
      <w:tr w:rsidR="009E13DB" w:rsidRPr="0093170C" w:rsidTr="006D67EB">
        <w:trPr>
          <w:trHeight w:val="493"/>
          <w:jc w:val="center"/>
        </w:trPr>
        <w:tc>
          <w:tcPr>
            <w:tcW w:w="2512" w:type="dxa"/>
            <w:gridSpan w:val="2"/>
            <w:vMerge w:val="restart"/>
            <w:tcBorders>
              <w:top w:val="single" w:sz="12" w:space="0" w:color="auto"/>
              <w:left w:val="single" w:sz="12" w:space="0" w:color="auto"/>
              <w:right w:val="single" w:sz="8" w:space="0" w:color="FFFFFF"/>
            </w:tcBorders>
            <w:shd w:val="clear" w:color="auto" w:fill="auto"/>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rPr>
              <w:t>Varianty financování a garance návratnosti:</w:t>
            </w:r>
          </w:p>
        </w:tc>
        <w:tc>
          <w:tcPr>
            <w:tcW w:w="2591" w:type="dxa"/>
            <w:gridSpan w:val="2"/>
            <w:tcBorders>
              <w:top w:val="single" w:sz="12" w:space="0" w:color="auto"/>
              <w:left w:val="single" w:sz="8" w:space="0" w:color="FFFFFF"/>
              <w:bottom w:val="single" w:sz="24" w:space="0" w:color="FFFFFF"/>
              <w:right w:val="single" w:sz="12" w:space="0" w:color="auto"/>
            </w:tcBorders>
            <w:shd w:val="clear" w:color="auto" w:fill="8DB3E2"/>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b/>
                <w:bCs/>
              </w:rPr>
              <w:t>Kdo garantuje prodejní cenu elektřiny:</w:t>
            </w:r>
          </w:p>
        </w:tc>
      </w:tr>
      <w:tr w:rsidR="009E13DB" w:rsidRPr="0093170C" w:rsidTr="006D67EB">
        <w:trPr>
          <w:trHeight w:val="158"/>
          <w:jc w:val="center"/>
        </w:trPr>
        <w:tc>
          <w:tcPr>
            <w:tcW w:w="2512" w:type="dxa"/>
            <w:gridSpan w:val="2"/>
            <w:vMerge/>
            <w:tcBorders>
              <w:left w:val="single" w:sz="12" w:space="0" w:color="auto"/>
              <w:bottom w:val="single" w:sz="8" w:space="0" w:color="FFFFFF"/>
              <w:right w:val="single" w:sz="8" w:space="0" w:color="FFFFFF"/>
            </w:tcBorders>
            <w:shd w:val="clear" w:color="auto" w:fill="auto"/>
            <w:tcMar>
              <w:top w:w="72" w:type="dxa"/>
              <w:left w:w="144" w:type="dxa"/>
              <w:bottom w:w="72" w:type="dxa"/>
              <w:right w:w="144" w:type="dxa"/>
            </w:tcMar>
            <w:hideMark/>
          </w:tcPr>
          <w:p w:rsidR="009E13DB" w:rsidRPr="0093170C" w:rsidRDefault="009E13DB" w:rsidP="006D67EB">
            <w:pPr>
              <w:spacing w:line="240" w:lineRule="auto"/>
              <w:rPr>
                <w:rFonts w:cs="Arial"/>
              </w:rPr>
            </w:pPr>
          </w:p>
        </w:tc>
        <w:tc>
          <w:tcPr>
            <w:tcW w:w="1457"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rPr>
              <w:t>Spotřebitelé (</w:t>
            </w:r>
            <w:proofErr w:type="spellStart"/>
            <w:r w:rsidRPr="0093170C">
              <w:rPr>
                <w:rFonts w:cs="Arial"/>
              </w:rPr>
              <w:t>CfD</w:t>
            </w:r>
            <w:proofErr w:type="spellEnd"/>
            <w:r w:rsidRPr="0093170C">
              <w:rPr>
                <w:rFonts w:cs="Arial"/>
              </w:rPr>
              <w:t>)</w:t>
            </w:r>
          </w:p>
        </w:tc>
        <w:tc>
          <w:tcPr>
            <w:tcW w:w="1134" w:type="dxa"/>
            <w:tcBorders>
              <w:top w:val="single" w:sz="24" w:space="0" w:color="FFFFFF"/>
              <w:left w:val="single" w:sz="8" w:space="0" w:color="FFFFFF"/>
              <w:bottom w:val="single" w:sz="8" w:space="0" w:color="FFFFFF"/>
              <w:right w:val="single" w:sz="12" w:space="0" w:color="auto"/>
            </w:tcBorders>
            <w:shd w:val="clear" w:color="auto" w:fill="F2F2F2"/>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rPr>
              <w:t xml:space="preserve">Stát </w:t>
            </w:r>
            <w:r w:rsidRPr="0093170C">
              <w:rPr>
                <w:rFonts w:cs="Arial"/>
              </w:rPr>
              <w:br/>
              <w:t>(</w:t>
            </w:r>
            <w:proofErr w:type="spellStart"/>
            <w:r w:rsidRPr="0093170C">
              <w:rPr>
                <w:rFonts w:cs="Arial"/>
              </w:rPr>
              <w:t>CfD</w:t>
            </w:r>
            <w:proofErr w:type="spellEnd"/>
            <w:r w:rsidRPr="0093170C">
              <w:rPr>
                <w:rFonts w:cs="Arial"/>
              </w:rPr>
              <w:t>)</w:t>
            </w:r>
          </w:p>
        </w:tc>
      </w:tr>
      <w:tr w:rsidR="009E13DB" w:rsidRPr="0093170C" w:rsidTr="006D67EB">
        <w:trPr>
          <w:trHeight w:val="117"/>
          <w:jc w:val="center"/>
        </w:trPr>
        <w:tc>
          <w:tcPr>
            <w:tcW w:w="1323" w:type="dxa"/>
            <w:vMerge w:val="restart"/>
            <w:tcBorders>
              <w:top w:val="single" w:sz="8" w:space="0" w:color="FFFFFF"/>
              <w:left w:val="single" w:sz="12" w:space="0" w:color="auto"/>
              <w:bottom w:val="single" w:sz="8" w:space="0" w:color="000000"/>
              <w:right w:val="single" w:sz="8" w:space="0" w:color="FFFFFF"/>
            </w:tcBorders>
            <w:shd w:val="clear" w:color="auto" w:fill="8DB3E2"/>
            <w:tcMar>
              <w:top w:w="72" w:type="dxa"/>
              <w:left w:w="144" w:type="dxa"/>
              <w:bottom w:w="72" w:type="dxa"/>
              <w:right w:w="144" w:type="dxa"/>
            </w:tcMar>
            <w:vAlign w:val="center"/>
            <w:hideMark/>
          </w:tcPr>
          <w:p w:rsidR="009E13DB" w:rsidRPr="0093170C" w:rsidRDefault="009E13DB" w:rsidP="006D67EB">
            <w:pPr>
              <w:spacing w:line="240" w:lineRule="auto"/>
              <w:rPr>
                <w:rFonts w:cs="Arial"/>
              </w:rPr>
            </w:pPr>
            <w:r w:rsidRPr="0093170C">
              <w:rPr>
                <w:rFonts w:cs="Arial"/>
                <w:b/>
                <w:bCs/>
              </w:rPr>
              <w:t>Kdo financuje výstavbu:</w:t>
            </w:r>
          </w:p>
        </w:tc>
        <w:tc>
          <w:tcPr>
            <w:tcW w:w="1189"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rPr>
              <w:t>Soukromý investor</w:t>
            </w:r>
          </w:p>
        </w:tc>
        <w:tc>
          <w:tcPr>
            <w:tcW w:w="1457"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vAlign w:val="center"/>
            <w:hideMark/>
          </w:tcPr>
          <w:p w:rsidR="009E13DB" w:rsidRPr="0093170C" w:rsidRDefault="009E13DB" w:rsidP="006D67EB">
            <w:pPr>
              <w:spacing w:line="240" w:lineRule="auto"/>
              <w:jc w:val="center"/>
              <w:rPr>
                <w:rFonts w:cs="Arial"/>
              </w:rPr>
            </w:pPr>
            <w:r w:rsidRPr="0093170C">
              <w:rPr>
                <w:rFonts w:cs="Arial"/>
              </w:rPr>
              <w:t>1</w:t>
            </w:r>
          </w:p>
        </w:tc>
        <w:tc>
          <w:tcPr>
            <w:tcW w:w="1134" w:type="dxa"/>
            <w:tcBorders>
              <w:top w:val="single" w:sz="8" w:space="0" w:color="FFFFFF"/>
              <w:left w:val="single" w:sz="8" w:space="0" w:color="FFFFFF"/>
              <w:bottom w:val="single" w:sz="8" w:space="0" w:color="FFFFFF"/>
              <w:right w:val="single" w:sz="12" w:space="0" w:color="auto"/>
            </w:tcBorders>
            <w:shd w:val="clear" w:color="auto" w:fill="F9F9F9"/>
            <w:tcMar>
              <w:top w:w="72" w:type="dxa"/>
              <w:left w:w="144" w:type="dxa"/>
              <w:bottom w:w="72" w:type="dxa"/>
              <w:right w:w="144" w:type="dxa"/>
            </w:tcMar>
            <w:vAlign w:val="center"/>
            <w:hideMark/>
          </w:tcPr>
          <w:p w:rsidR="009E13DB" w:rsidRPr="0093170C" w:rsidRDefault="009E13DB" w:rsidP="006D67EB">
            <w:pPr>
              <w:spacing w:line="240" w:lineRule="auto"/>
              <w:jc w:val="center"/>
              <w:rPr>
                <w:rFonts w:cs="Arial"/>
              </w:rPr>
            </w:pPr>
            <w:r w:rsidRPr="0093170C">
              <w:rPr>
                <w:rFonts w:cs="Arial"/>
              </w:rPr>
              <w:t>3</w:t>
            </w:r>
          </w:p>
        </w:tc>
      </w:tr>
      <w:tr w:rsidR="009E13DB" w:rsidRPr="0093170C" w:rsidTr="006D67EB">
        <w:trPr>
          <w:trHeight w:val="91"/>
          <w:jc w:val="center"/>
        </w:trPr>
        <w:tc>
          <w:tcPr>
            <w:tcW w:w="1323" w:type="dxa"/>
            <w:vMerge/>
            <w:tcBorders>
              <w:top w:val="single" w:sz="8" w:space="0" w:color="FFFFFF"/>
              <w:left w:val="single" w:sz="12" w:space="0" w:color="auto"/>
              <w:bottom w:val="single" w:sz="8" w:space="0" w:color="000000"/>
              <w:right w:val="single" w:sz="8" w:space="0" w:color="FFFFFF"/>
            </w:tcBorders>
            <w:shd w:val="clear" w:color="auto" w:fill="8DB3E2"/>
            <w:vAlign w:val="center"/>
            <w:hideMark/>
          </w:tcPr>
          <w:p w:rsidR="009E13DB" w:rsidRPr="0093170C" w:rsidRDefault="009E13DB" w:rsidP="006D67EB">
            <w:pPr>
              <w:spacing w:line="240" w:lineRule="auto"/>
              <w:rPr>
                <w:rFonts w:cs="Arial"/>
              </w:rPr>
            </w:pPr>
          </w:p>
        </w:tc>
        <w:tc>
          <w:tcPr>
            <w:tcW w:w="1189" w:type="dxa"/>
            <w:tcBorders>
              <w:top w:val="single" w:sz="8" w:space="0" w:color="FFFFFF"/>
              <w:left w:val="single" w:sz="8" w:space="0" w:color="FFFFFF"/>
              <w:bottom w:val="thinThickSmallGap" w:sz="24" w:space="0" w:color="auto"/>
              <w:right w:val="single" w:sz="8" w:space="0" w:color="FFFFFF"/>
            </w:tcBorders>
            <w:shd w:val="clear" w:color="auto" w:fill="F2F2F2"/>
            <w:tcMar>
              <w:top w:w="72" w:type="dxa"/>
              <w:left w:w="144" w:type="dxa"/>
              <w:bottom w:w="72" w:type="dxa"/>
              <w:right w:w="144" w:type="dxa"/>
            </w:tcMar>
            <w:hideMark/>
          </w:tcPr>
          <w:p w:rsidR="009E13DB" w:rsidRPr="0093170C" w:rsidRDefault="009E13DB" w:rsidP="006D67EB">
            <w:pPr>
              <w:spacing w:line="240" w:lineRule="auto"/>
              <w:rPr>
                <w:rFonts w:cs="Arial"/>
              </w:rPr>
            </w:pPr>
            <w:r w:rsidRPr="0093170C">
              <w:rPr>
                <w:rFonts w:cs="Arial"/>
              </w:rPr>
              <w:t>Stát</w:t>
            </w:r>
          </w:p>
        </w:tc>
        <w:tc>
          <w:tcPr>
            <w:tcW w:w="1457" w:type="dxa"/>
            <w:tcBorders>
              <w:top w:val="single" w:sz="8" w:space="0" w:color="FFFFFF"/>
              <w:left w:val="single" w:sz="8" w:space="0" w:color="FFFFFF"/>
              <w:bottom w:val="thinThickSmallGap" w:sz="24" w:space="0" w:color="auto"/>
              <w:right w:val="single" w:sz="8" w:space="0" w:color="FFFFFF"/>
            </w:tcBorders>
            <w:shd w:val="clear" w:color="auto" w:fill="F2F2F2"/>
            <w:tcMar>
              <w:top w:w="72" w:type="dxa"/>
              <w:left w:w="144" w:type="dxa"/>
              <w:bottom w:w="72" w:type="dxa"/>
              <w:right w:w="144" w:type="dxa"/>
            </w:tcMar>
            <w:vAlign w:val="center"/>
            <w:hideMark/>
          </w:tcPr>
          <w:p w:rsidR="009E13DB" w:rsidRPr="0093170C" w:rsidRDefault="009E13DB" w:rsidP="006D67EB">
            <w:pPr>
              <w:spacing w:line="240" w:lineRule="auto"/>
              <w:jc w:val="center"/>
              <w:rPr>
                <w:rFonts w:cs="Arial"/>
              </w:rPr>
            </w:pPr>
            <w:r w:rsidRPr="0093170C">
              <w:rPr>
                <w:rFonts w:cs="Arial"/>
              </w:rPr>
              <w:t>2</w:t>
            </w:r>
          </w:p>
        </w:tc>
        <w:tc>
          <w:tcPr>
            <w:tcW w:w="1134" w:type="dxa"/>
            <w:tcBorders>
              <w:top w:val="single" w:sz="8" w:space="0" w:color="FFFFFF"/>
              <w:left w:val="single" w:sz="8" w:space="0" w:color="FFFFFF"/>
              <w:bottom w:val="thinThickSmallGap" w:sz="24" w:space="0" w:color="auto"/>
              <w:right w:val="single" w:sz="12" w:space="0" w:color="auto"/>
            </w:tcBorders>
            <w:shd w:val="clear" w:color="auto" w:fill="F2F2F2"/>
            <w:tcMar>
              <w:top w:w="72" w:type="dxa"/>
              <w:left w:w="144" w:type="dxa"/>
              <w:bottom w:w="72" w:type="dxa"/>
              <w:right w:w="144" w:type="dxa"/>
            </w:tcMar>
            <w:vAlign w:val="center"/>
            <w:hideMark/>
          </w:tcPr>
          <w:p w:rsidR="009E13DB" w:rsidRPr="0093170C" w:rsidRDefault="009E13DB" w:rsidP="006D67EB">
            <w:pPr>
              <w:spacing w:line="240" w:lineRule="auto"/>
              <w:jc w:val="center"/>
              <w:rPr>
                <w:rFonts w:cs="Arial"/>
              </w:rPr>
            </w:pPr>
            <w:r w:rsidRPr="0093170C">
              <w:rPr>
                <w:rFonts w:cs="Arial"/>
              </w:rPr>
              <w:t>4</w:t>
            </w:r>
          </w:p>
        </w:tc>
      </w:tr>
      <w:tr w:rsidR="006D67EB" w:rsidTr="006D67EB">
        <w:tblPrEx>
          <w:tblBorders>
            <w:top w:val="thinThickSmallGap" w:sz="24" w:space="0" w:color="auto"/>
          </w:tblBorders>
          <w:tblCellMar>
            <w:left w:w="70" w:type="dxa"/>
            <w:right w:w="70" w:type="dxa"/>
          </w:tblCellMar>
          <w:tblLook w:val="0000" w:firstRow="0" w:lastRow="0" w:firstColumn="0" w:lastColumn="0" w:noHBand="0" w:noVBand="0"/>
        </w:tblPrEx>
        <w:trPr>
          <w:gridAfter w:val="3"/>
          <w:wAfter w:w="3780" w:type="dxa"/>
          <w:trHeight w:val="100"/>
          <w:jc w:val="center"/>
        </w:trPr>
        <w:tc>
          <w:tcPr>
            <w:tcW w:w="1323" w:type="dxa"/>
            <w:tcBorders>
              <w:top w:val="thinThickSmallGap" w:sz="24" w:space="0" w:color="auto"/>
            </w:tcBorders>
          </w:tcPr>
          <w:p w:rsidR="006D67EB" w:rsidRDefault="006D67EB" w:rsidP="006D67EB">
            <w:pPr>
              <w:autoSpaceDE w:val="0"/>
              <w:autoSpaceDN w:val="0"/>
              <w:adjustRightInd w:val="0"/>
              <w:spacing w:before="200"/>
              <w:jc w:val="both"/>
              <w:rPr>
                <w:rFonts w:cs="Arial"/>
              </w:rPr>
            </w:pPr>
          </w:p>
        </w:tc>
      </w:tr>
    </w:tbl>
    <w:p w:rsidR="009E13DB" w:rsidRPr="00913C18" w:rsidRDefault="009E13DB" w:rsidP="0044189F">
      <w:pPr>
        <w:numPr>
          <w:ilvl w:val="0"/>
          <w:numId w:val="19"/>
        </w:numPr>
        <w:autoSpaceDE w:val="0"/>
        <w:autoSpaceDN w:val="0"/>
        <w:adjustRightInd w:val="0"/>
        <w:spacing w:before="200"/>
        <w:ind w:hanging="357"/>
        <w:jc w:val="both"/>
        <w:rPr>
          <w:rFonts w:cs="Arial"/>
        </w:rPr>
      </w:pPr>
      <w:r w:rsidRPr="00913C18">
        <w:rPr>
          <w:rFonts w:cs="Arial"/>
        </w:rPr>
        <w:t xml:space="preserve">Soukromý investor, </w:t>
      </w:r>
      <w:proofErr w:type="spellStart"/>
      <w:r w:rsidRPr="00913C18">
        <w:rPr>
          <w:rFonts w:cs="Arial"/>
        </w:rPr>
        <w:t>CfD</w:t>
      </w:r>
      <w:proofErr w:type="spellEnd"/>
    </w:p>
    <w:p w:rsidR="009E13DB" w:rsidRPr="00913C18" w:rsidRDefault="009E13DB" w:rsidP="0044189F">
      <w:pPr>
        <w:numPr>
          <w:ilvl w:val="1"/>
          <w:numId w:val="59"/>
        </w:numPr>
        <w:autoSpaceDE w:val="0"/>
        <w:autoSpaceDN w:val="0"/>
        <w:adjustRightInd w:val="0"/>
        <w:spacing w:after="0"/>
        <w:jc w:val="both"/>
        <w:rPr>
          <w:rFonts w:cs="Arial"/>
        </w:rPr>
      </w:pPr>
      <w:r w:rsidRPr="00913C18">
        <w:rPr>
          <w:rFonts w:cs="Arial"/>
        </w:rPr>
        <w:t xml:space="preserve">Potenciální dopad na spotřebitele po </w:t>
      </w:r>
      <w:r>
        <w:rPr>
          <w:rFonts w:cs="Arial"/>
        </w:rPr>
        <w:t>spuštění zdroje</w:t>
      </w:r>
    </w:p>
    <w:p w:rsidR="009E13DB" w:rsidRDefault="009E13DB" w:rsidP="0044189F">
      <w:pPr>
        <w:numPr>
          <w:ilvl w:val="1"/>
          <w:numId w:val="59"/>
        </w:numPr>
        <w:autoSpaceDE w:val="0"/>
        <w:autoSpaceDN w:val="0"/>
        <w:adjustRightInd w:val="0"/>
        <w:spacing w:after="0"/>
        <w:jc w:val="both"/>
        <w:rPr>
          <w:rFonts w:cs="Arial"/>
        </w:rPr>
      </w:pPr>
      <w:proofErr w:type="spellStart"/>
      <w:r w:rsidRPr="00913C18">
        <w:rPr>
          <w:rFonts w:cs="Arial"/>
        </w:rPr>
        <w:t>CfD</w:t>
      </w:r>
      <w:proofErr w:type="spellEnd"/>
      <w:r w:rsidRPr="00913C18">
        <w:rPr>
          <w:rFonts w:cs="Arial"/>
        </w:rPr>
        <w:t xml:space="preserve"> musí zajišťovat výnosnost investice akceptovatelnou soukromým investorem</w:t>
      </w:r>
    </w:p>
    <w:p w:rsidR="009E13DB" w:rsidRPr="000B1AE1" w:rsidRDefault="009E13DB" w:rsidP="0044189F">
      <w:pPr>
        <w:numPr>
          <w:ilvl w:val="1"/>
          <w:numId w:val="59"/>
        </w:numPr>
        <w:autoSpaceDE w:val="0"/>
        <w:autoSpaceDN w:val="0"/>
        <w:adjustRightInd w:val="0"/>
        <w:spacing w:after="0"/>
        <w:jc w:val="both"/>
        <w:rPr>
          <w:rFonts w:cs="Arial"/>
        </w:rPr>
      </w:pPr>
      <w:r w:rsidRPr="00913C18">
        <w:rPr>
          <w:rFonts w:cs="Arial"/>
        </w:rPr>
        <w:t>Navíc garance státu za úvěr má potenciál pro snížení požadované výnosnosti</w:t>
      </w:r>
    </w:p>
    <w:p w:rsidR="009E13DB" w:rsidRPr="00913C18" w:rsidRDefault="009E13DB" w:rsidP="006007F6">
      <w:pPr>
        <w:numPr>
          <w:ilvl w:val="1"/>
          <w:numId w:val="59"/>
        </w:numPr>
        <w:autoSpaceDE w:val="0"/>
        <w:autoSpaceDN w:val="0"/>
        <w:adjustRightInd w:val="0"/>
        <w:spacing w:after="240"/>
        <w:ind w:left="1434" w:hanging="357"/>
        <w:jc w:val="both"/>
        <w:rPr>
          <w:rFonts w:cs="Arial"/>
        </w:rPr>
      </w:pPr>
      <w:r w:rsidRPr="00913C18">
        <w:rPr>
          <w:rFonts w:cs="Arial"/>
        </w:rPr>
        <w:lastRenderedPageBreak/>
        <w:t>Nulový dopad do státního rozpočtu</w:t>
      </w:r>
      <w:r w:rsidR="001F4DB3">
        <w:rPr>
          <w:rFonts w:cs="Arial"/>
        </w:rPr>
        <w:t xml:space="preserve"> (riziko dopadu na SR po spuštění zdroje, kdy dopad na spotřebitele může být natolik neúnosný, že stát vezme určitou část garance na sebe)</w:t>
      </w:r>
    </w:p>
    <w:p w:rsidR="009E13DB" w:rsidRPr="00913C18" w:rsidRDefault="009E13DB" w:rsidP="0044189F">
      <w:pPr>
        <w:numPr>
          <w:ilvl w:val="0"/>
          <w:numId w:val="19"/>
        </w:numPr>
        <w:autoSpaceDE w:val="0"/>
        <w:autoSpaceDN w:val="0"/>
        <w:adjustRightInd w:val="0"/>
        <w:ind w:hanging="357"/>
        <w:jc w:val="both"/>
        <w:rPr>
          <w:rFonts w:cs="Arial"/>
        </w:rPr>
      </w:pPr>
      <w:r w:rsidRPr="00913C18">
        <w:rPr>
          <w:rFonts w:cs="Arial"/>
        </w:rPr>
        <w:t xml:space="preserve">Stát, </w:t>
      </w:r>
      <w:proofErr w:type="spellStart"/>
      <w:r w:rsidRPr="00913C18">
        <w:rPr>
          <w:rFonts w:cs="Arial"/>
        </w:rPr>
        <w:t>CfD</w:t>
      </w:r>
      <w:proofErr w:type="spellEnd"/>
    </w:p>
    <w:p w:rsidR="009E13DB" w:rsidRPr="00913C18" w:rsidRDefault="009E13DB" w:rsidP="0044189F">
      <w:pPr>
        <w:numPr>
          <w:ilvl w:val="1"/>
          <w:numId w:val="60"/>
        </w:numPr>
        <w:autoSpaceDE w:val="0"/>
        <w:autoSpaceDN w:val="0"/>
        <w:adjustRightInd w:val="0"/>
        <w:spacing w:after="0"/>
        <w:jc w:val="both"/>
        <w:rPr>
          <w:rFonts w:cs="Arial"/>
        </w:rPr>
      </w:pPr>
      <w:r w:rsidRPr="00913C18">
        <w:rPr>
          <w:rFonts w:cs="Arial"/>
        </w:rPr>
        <w:t xml:space="preserve">Potenciální dopad na spotřebitele </w:t>
      </w:r>
      <w:r>
        <w:rPr>
          <w:rFonts w:cs="Arial"/>
        </w:rPr>
        <w:t>po spuštění zdroje</w:t>
      </w:r>
    </w:p>
    <w:p w:rsidR="009E13DB" w:rsidRPr="00913C18" w:rsidRDefault="009E13DB" w:rsidP="0044189F">
      <w:pPr>
        <w:numPr>
          <w:ilvl w:val="1"/>
          <w:numId w:val="60"/>
        </w:numPr>
        <w:autoSpaceDE w:val="0"/>
        <w:autoSpaceDN w:val="0"/>
        <w:adjustRightInd w:val="0"/>
        <w:spacing w:after="0"/>
        <w:jc w:val="both"/>
        <w:rPr>
          <w:rFonts w:cs="Arial"/>
        </w:rPr>
      </w:pPr>
      <w:r w:rsidRPr="00913C18">
        <w:rPr>
          <w:rFonts w:cs="Arial"/>
        </w:rPr>
        <w:t>Výrazně nižší požadovaná návratnost než v případě soukromé investice</w:t>
      </w:r>
    </w:p>
    <w:p w:rsidR="009E13DB" w:rsidRPr="00913C18" w:rsidRDefault="009E13DB" w:rsidP="006007F6">
      <w:pPr>
        <w:numPr>
          <w:ilvl w:val="1"/>
          <w:numId w:val="60"/>
        </w:numPr>
        <w:autoSpaceDE w:val="0"/>
        <w:autoSpaceDN w:val="0"/>
        <w:adjustRightInd w:val="0"/>
        <w:spacing w:after="240"/>
        <w:ind w:left="1434" w:hanging="357"/>
        <w:jc w:val="both"/>
        <w:rPr>
          <w:rFonts w:cs="Arial"/>
        </w:rPr>
      </w:pPr>
      <w:r w:rsidRPr="00913C18">
        <w:rPr>
          <w:rFonts w:cs="Arial"/>
        </w:rPr>
        <w:t>Profinancování investice ze státního rozpočtu, ze státního dluhu mimo rozpočet nebo kome</w:t>
      </w:r>
      <w:r>
        <w:rPr>
          <w:rFonts w:cs="Arial"/>
        </w:rPr>
        <w:t>rční dluh ručený státní garancí</w:t>
      </w:r>
    </w:p>
    <w:p w:rsidR="009E13DB" w:rsidRPr="00913C18" w:rsidRDefault="009E13DB" w:rsidP="0044189F">
      <w:pPr>
        <w:numPr>
          <w:ilvl w:val="0"/>
          <w:numId w:val="19"/>
        </w:numPr>
        <w:autoSpaceDE w:val="0"/>
        <w:autoSpaceDN w:val="0"/>
        <w:adjustRightInd w:val="0"/>
        <w:ind w:hanging="357"/>
        <w:jc w:val="both"/>
        <w:rPr>
          <w:rFonts w:cs="Arial"/>
        </w:rPr>
      </w:pPr>
      <w:r w:rsidRPr="00913C18">
        <w:rPr>
          <w:rFonts w:cs="Arial"/>
        </w:rPr>
        <w:t xml:space="preserve">Soukromý investor, </w:t>
      </w:r>
      <w:proofErr w:type="spellStart"/>
      <w:r>
        <w:rPr>
          <w:rFonts w:cs="Arial"/>
        </w:rPr>
        <w:t>CfD</w:t>
      </w:r>
      <w:proofErr w:type="spellEnd"/>
      <w:r>
        <w:rPr>
          <w:rFonts w:cs="Arial"/>
        </w:rPr>
        <w:t xml:space="preserve"> se státem</w:t>
      </w:r>
    </w:p>
    <w:p w:rsidR="009E13DB" w:rsidRPr="00913C18" w:rsidRDefault="009E13DB" w:rsidP="0044189F">
      <w:pPr>
        <w:numPr>
          <w:ilvl w:val="1"/>
          <w:numId w:val="61"/>
        </w:numPr>
        <w:autoSpaceDE w:val="0"/>
        <w:autoSpaceDN w:val="0"/>
        <w:adjustRightInd w:val="0"/>
        <w:spacing w:after="0"/>
        <w:jc w:val="both"/>
        <w:rPr>
          <w:rFonts w:cs="Arial"/>
        </w:rPr>
      </w:pPr>
      <w:r w:rsidRPr="00913C18">
        <w:rPr>
          <w:rFonts w:cs="Arial"/>
        </w:rPr>
        <w:t>Financování zajišťuje soukromý investor</w:t>
      </w:r>
    </w:p>
    <w:p w:rsidR="009E13DB" w:rsidRDefault="009E13DB" w:rsidP="0044189F">
      <w:pPr>
        <w:numPr>
          <w:ilvl w:val="1"/>
          <w:numId w:val="61"/>
        </w:numPr>
        <w:autoSpaceDE w:val="0"/>
        <w:autoSpaceDN w:val="0"/>
        <w:adjustRightInd w:val="0"/>
        <w:spacing w:after="0"/>
        <w:jc w:val="both"/>
        <w:rPr>
          <w:rFonts w:cs="Arial"/>
        </w:rPr>
      </w:pPr>
      <w:r w:rsidRPr="00913C18">
        <w:rPr>
          <w:rFonts w:cs="Arial"/>
        </w:rPr>
        <w:t>Výkupní cena musí zajišťovat výnosnost investice akceptovatelnou soukromým investorem</w:t>
      </w:r>
    </w:p>
    <w:p w:rsidR="009E13DB" w:rsidRPr="000B1AE1" w:rsidRDefault="009E13DB" w:rsidP="0044189F">
      <w:pPr>
        <w:numPr>
          <w:ilvl w:val="1"/>
          <w:numId w:val="61"/>
        </w:numPr>
        <w:autoSpaceDE w:val="0"/>
        <w:autoSpaceDN w:val="0"/>
        <w:adjustRightInd w:val="0"/>
        <w:spacing w:after="0"/>
        <w:jc w:val="both"/>
        <w:rPr>
          <w:rFonts w:cs="Arial"/>
        </w:rPr>
      </w:pPr>
      <w:r w:rsidRPr="00913C18">
        <w:rPr>
          <w:rFonts w:cs="Arial"/>
        </w:rPr>
        <w:t>Navíc garance státu za úvěr má potenciál pro snížení požadované výnosnosti</w:t>
      </w:r>
    </w:p>
    <w:p w:rsidR="009E13DB" w:rsidRPr="00913C18" w:rsidRDefault="009E13DB" w:rsidP="006007F6">
      <w:pPr>
        <w:numPr>
          <w:ilvl w:val="1"/>
          <w:numId w:val="61"/>
        </w:numPr>
        <w:autoSpaceDE w:val="0"/>
        <w:autoSpaceDN w:val="0"/>
        <w:adjustRightInd w:val="0"/>
        <w:spacing w:after="240"/>
        <w:ind w:left="1434" w:hanging="357"/>
        <w:jc w:val="both"/>
        <w:rPr>
          <w:rFonts w:cs="Arial"/>
        </w:rPr>
      </w:pPr>
      <w:r w:rsidRPr="00913C18">
        <w:rPr>
          <w:rFonts w:cs="Arial"/>
        </w:rPr>
        <w:t xml:space="preserve">Možný dopad do státního rozpočtu až </w:t>
      </w:r>
      <w:r>
        <w:rPr>
          <w:rFonts w:cs="Arial"/>
        </w:rPr>
        <w:t>po spuštění zdroje</w:t>
      </w:r>
    </w:p>
    <w:p w:rsidR="009E13DB" w:rsidRPr="00913C18" w:rsidRDefault="009E13DB" w:rsidP="0044189F">
      <w:pPr>
        <w:numPr>
          <w:ilvl w:val="0"/>
          <w:numId w:val="19"/>
        </w:numPr>
        <w:autoSpaceDE w:val="0"/>
        <w:autoSpaceDN w:val="0"/>
        <w:adjustRightInd w:val="0"/>
        <w:ind w:hanging="357"/>
        <w:jc w:val="both"/>
        <w:rPr>
          <w:rFonts w:cs="Arial"/>
        </w:rPr>
      </w:pPr>
      <w:r w:rsidRPr="00913C18">
        <w:rPr>
          <w:rFonts w:cs="Arial"/>
        </w:rPr>
        <w:t xml:space="preserve">Stát bez </w:t>
      </w:r>
      <w:proofErr w:type="spellStart"/>
      <w:r w:rsidRPr="00913C18">
        <w:rPr>
          <w:rFonts w:cs="Arial"/>
        </w:rPr>
        <w:t>CfD</w:t>
      </w:r>
      <w:proofErr w:type="spellEnd"/>
    </w:p>
    <w:p w:rsidR="009E13DB" w:rsidRPr="00913C18" w:rsidRDefault="009E13DB" w:rsidP="0044189F">
      <w:pPr>
        <w:numPr>
          <w:ilvl w:val="1"/>
          <w:numId w:val="62"/>
        </w:numPr>
        <w:autoSpaceDE w:val="0"/>
        <w:autoSpaceDN w:val="0"/>
        <w:adjustRightInd w:val="0"/>
        <w:spacing w:after="0"/>
        <w:jc w:val="both"/>
        <w:rPr>
          <w:rFonts w:cs="Arial"/>
        </w:rPr>
      </w:pPr>
      <w:r w:rsidRPr="00913C18">
        <w:rPr>
          <w:rFonts w:cs="Arial"/>
        </w:rPr>
        <w:t>Výrazně nižší požadovaná návratnost než v případě soukromé investice</w:t>
      </w:r>
    </w:p>
    <w:p w:rsidR="009E13DB" w:rsidRPr="00913C18" w:rsidRDefault="009E13DB" w:rsidP="0044189F">
      <w:pPr>
        <w:numPr>
          <w:ilvl w:val="1"/>
          <w:numId w:val="62"/>
        </w:numPr>
        <w:autoSpaceDE w:val="0"/>
        <w:autoSpaceDN w:val="0"/>
        <w:adjustRightInd w:val="0"/>
        <w:spacing w:after="0"/>
        <w:jc w:val="both"/>
        <w:rPr>
          <w:rFonts w:cs="Arial"/>
        </w:rPr>
      </w:pPr>
      <w:r w:rsidRPr="00913C18">
        <w:rPr>
          <w:rFonts w:cs="Arial"/>
        </w:rPr>
        <w:t>Profinancování investice ze státního rozpočtu, ze státního dluhu mimo rozpočet nebo kome</w:t>
      </w:r>
      <w:r>
        <w:rPr>
          <w:rFonts w:cs="Arial"/>
        </w:rPr>
        <w:t>rční dluh ručený státní garancí</w:t>
      </w:r>
    </w:p>
    <w:p w:rsidR="009E13DB" w:rsidRPr="00913C18" w:rsidRDefault="009E13DB" w:rsidP="0044189F">
      <w:pPr>
        <w:numPr>
          <w:ilvl w:val="1"/>
          <w:numId w:val="62"/>
        </w:numPr>
        <w:autoSpaceDE w:val="0"/>
        <w:autoSpaceDN w:val="0"/>
        <w:adjustRightInd w:val="0"/>
        <w:ind w:left="1434" w:hanging="357"/>
        <w:jc w:val="both"/>
        <w:rPr>
          <w:rFonts w:cs="Arial"/>
        </w:rPr>
      </w:pPr>
      <w:r w:rsidRPr="00913C18">
        <w:rPr>
          <w:rFonts w:cs="Arial"/>
        </w:rPr>
        <w:t>Nulový přímý dopad na spotřebitele</w:t>
      </w:r>
    </w:p>
    <w:p w:rsidR="009E13DB" w:rsidRPr="00FE3A36" w:rsidRDefault="009E13DB" w:rsidP="009E13DB">
      <w:pPr>
        <w:spacing w:line="240" w:lineRule="auto"/>
        <w:rPr>
          <w:rFonts w:cs="Arial"/>
          <w:u w:val="single"/>
        </w:rPr>
      </w:pPr>
      <w:r w:rsidRPr="00FE3A36">
        <w:rPr>
          <w:rFonts w:cs="Arial"/>
          <w:u w:val="single"/>
        </w:rPr>
        <w:t>Dopad na zákazníka</w:t>
      </w:r>
      <w:r w:rsidR="001F4DB3">
        <w:rPr>
          <w:rFonts w:cs="Arial"/>
          <w:u w:val="single"/>
        </w:rPr>
        <w:t>:</w:t>
      </w:r>
    </w:p>
    <w:p w:rsidR="009E13DB" w:rsidRDefault="009E13DB" w:rsidP="009E13DB">
      <w:pPr>
        <w:tabs>
          <w:tab w:val="left" w:pos="0"/>
        </w:tabs>
        <w:spacing w:line="240" w:lineRule="auto"/>
        <w:jc w:val="both"/>
        <w:rPr>
          <w:rFonts w:cs="Arial"/>
        </w:rPr>
      </w:pPr>
      <w:r>
        <w:rPr>
          <w:rFonts w:cs="Arial"/>
        </w:rPr>
        <w:t>Při analýze dopadu na zákazníka vycházíme z krajních scénářů pro ceny elektřiny stanovené do roku 2030, tj. ceny 62 a 76 EUR/</w:t>
      </w:r>
      <w:proofErr w:type="spellStart"/>
      <w:r>
        <w:rPr>
          <w:rFonts w:cs="Arial"/>
        </w:rPr>
        <w:t>MWh</w:t>
      </w:r>
      <w:proofErr w:type="spellEnd"/>
      <w:r>
        <w:rPr>
          <w:rFonts w:cs="Arial"/>
        </w:rPr>
        <w:t xml:space="preserve">, krajní scénáře cen stanovené plnými náklady paroplynové elektrárny, tj. ceny </w:t>
      </w:r>
      <w:r w:rsidRPr="00AF1C66">
        <w:t>88-99 EUR/</w:t>
      </w:r>
      <w:proofErr w:type="spellStart"/>
      <w:r w:rsidRPr="00AF1C66">
        <w:t>MWh</w:t>
      </w:r>
      <w:proofErr w:type="spellEnd"/>
      <w:r>
        <w:t xml:space="preserve"> a současnou úroveň FWD cen na burze 35 EUR/</w:t>
      </w:r>
      <w:proofErr w:type="spellStart"/>
      <w:r>
        <w:t>MWh</w:t>
      </w:r>
      <w:proofErr w:type="spellEnd"/>
      <w:r>
        <w:t>.</w:t>
      </w:r>
    </w:p>
    <w:p w:rsidR="00AA7720" w:rsidRPr="00AA7720" w:rsidRDefault="00AA7720" w:rsidP="00AA7720">
      <w:pPr>
        <w:pStyle w:val="Titulek"/>
        <w:keepNext/>
        <w:rPr>
          <w:color w:val="auto"/>
          <w:sz w:val="22"/>
        </w:rPr>
      </w:pPr>
      <w:bookmarkStart w:id="234" w:name="_Ref410921111"/>
      <w:bookmarkStart w:id="235" w:name="_Ref410921105"/>
      <w:bookmarkStart w:id="236" w:name="_Toc420058322"/>
      <w:r w:rsidRPr="00AA7720">
        <w:rPr>
          <w:color w:val="auto"/>
          <w:sz w:val="22"/>
        </w:rPr>
        <w:t xml:space="preserve">Tabulka č. </w:t>
      </w:r>
      <w:r w:rsidRPr="00AA7720">
        <w:rPr>
          <w:color w:val="auto"/>
          <w:sz w:val="22"/>
        </w:rPr>
        <w:fldChar w:fldCharType="begin"/>
      </w:r>
      <w:r w:rsidRPr="00AA7720">
        <w:rPr>
          <w:color w:val="auto"/>
          <w:sz w:val="22"/>
        </w:rPr>
        <w:instrText xml:space="preserve"> SEQ Tabulka_č. \* ARABIC </w:instrText>
      </w:r>
      <w:r w:rsidRPr="00AA7720">
        <w:rPr>
          <w:color w:val="auto"/>
          <w:sz w:val="22"/>
        </w:rPr>
        <w:fldChar w:fldCharType="separate"/>
      </w:r>
      <w:r w:rsidR="00FE1E1A">
        <w:rPr>
          <w:noProof/>
          <w:color w:val="auto"/>
          <w:sz w:val="22"/>
        </w:rPr>
        <w:t>18</w:t>
      </w:r>
      <w:r w:rsidRPr="00AA7720">
        <w:rPr>
          <w:color w:val="auto"/>
          <w:sz w:val="22"/>
        </w:rPr>
        <w:fldChar w:fldCharType="end"/>
      </w:r>
      <w:bookmarkEnd w:id="234"/>
      <w:r w:rsidRPr="00AA7720">
        <w:rPr>
          <w:color w:val="auto"/>
          <w:sz w:val="22"/>
        </w:rPr>
        <w:t xml:space="preserve">: </w:t>
      </w:r>
      <w:r w:rsidRPr="00AA7720">
        <w:rPr>
          <w:rFonts w:cs="Arial"/>
          <w:b w:val="0"/>
          <w:i/>
          <w:color w:val="auto"/>
          <w:sz w:val="22"/>
        </w:rPr>
        <w:t>Roční dopad na zákazníka</w:t>
      </w:r>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9E13DB" w:rsidRPr="0093170C" w:rsidTr="006D67EB">
        <w:tc>
          <w:tcPr>
            <w:tcW w:w="1842" w:type="dxa"/>
            <w:vMerge w:val="restart"/>
            <w:tcBorders>
              <w:top w:val="single" w:sz="12" w:space="0" w:color="auto"/>
              <w:left w:val="single" w:sz="12" w:space="0" w:color="auto"/>
              <w:right w:val="single" w:sz="2" w:space="0" w:color="auto"/>
            </w:tcBorders>
            <w:shd w:val="clear" w:color="auto" w:fill="B8CCE4" w:themeFill="accent1" w:themeFillTint="66"/>
            <w:vAlign w:val="center"/>
          </w:tcPr>
          <w:p w:rsidR="009E13DB" w:rsidRPr="006D67EB" w:rsidRDefault="00E64D47" w:rsidP="006D67EB">
            <w:pPr>
              <w:spacing w:after="0"/>
              <w:jc w:val="center"/>
              <w:rPr>
                <w:rFonts w:cs="Arial"/>
                <w:b/>
              </w:rPr>
            </w:pPr>
            <w:r>
              <w:rPr>
                <w:rFonts w:cs="Arial"/>
                <w:b/>
              </w:rPr>
              <w:t xml:space="preserve">Scénář ceny elektřiny </w:t>
            </w:r>
            <w:r>
              <w:rPr>
                <w:rFonts w:cs="Arial"/>
                <w:b/>
                <w:lang w:val="en-US"/>
              </w:rPr>
              <w:t>[</w:t>
            </w:r>
            <w:r>
              <w:rPr>
                <w:rFonts w:cs="Arial"/>
                <w:b/>
              </w:rPr>
              <w:t>EUR/</w:t>
            </w:r>
            <w:proofErr w:type="spellStart"/>
            <w:r>
              <w:rPr>
                <w:rFonts w:cs="Arial"/>
                <w:b/>
              </w:rPr>
              <w:t>MWh</w:t>
            </w:r>
            <w:proofErr w:type="spellEnd"/>
            <w:r>
              <w:rPr>
                <w:rFonts w:cs="Arial"/>
                <w:b/>
              </w:rPr>
              <w:t>]</w:t>
            </w:r>
          </w:p>
        </w:tc>
        <w:tc>
          <w:tcPr>
            <w:tcW w:w="7368" w:type="dxa"/>
            <w:gridSpan w:val="4"/>
            <w:tcBorders>
              <w:top w:val="single" w:sz="12" w:space="0" w:color="auto"/>
              <w:left w:val="single" w:sz="2" w:space="0" w:color="auto"/>
              <w:bottom w:val="single" w:sz="2" w:space="0" w:color="auto"/>
              <w:right w:val="single" w:sz="12" w:space="0" w:color="auto"/>
            </w:tcBorders>
            <w:shd w:val="clear" w:color="auto" w:fill="B8CCE4" w:themeFill="accent1" w:themeFillTint="66"/>
            <w:vAlign w:val="center"/>
          </w:tcPr>
          <w:p w:rsidR="009E13DB" w:rsidRPr="006D67EB" w:rsidRDefault="00E64D47" w:rsidP="00E64D47">
            <w:pPr>
              <w:spacing w:after="0"/>
              <w:jc w:val="center"/>
              <w:rPr>
                <w:rFonts w:cs="Arial"/>
                <w:b/>
              </w:rPr>
            </w:pPr>
            <w:r>
              <w:rPr>
                <w:rFonts w:cs="Arial"/>
                <w:b/>
              </w:rPr>
              <w:t xml:space="preserve">Roční dopad na zákazníka </w:t>
            </w:r>
            <w:r>
              <w:rPr>
                <w:rFonts w:cs="Arial"/>
                <w:b/>
                <w:lang w:val="en-US"/>
              </w:rPr>
              <w:t>[</w:t>
            </w:r>
            <w:r>
              <w:rPr>
                <w:rFonts w:cs="Arial"/>
                <w:b/>
              </w:rPr>
              <w:t>mld. Kč/rok]</w:t>
            </w:r>
            <w:r w:rsidR="009E13DB" w:rsidRPr="006D67EB">
              <w:rPr>
                <w:rFonts w:cs="Arial"/>
                <w:b/>
              </w:rPr>
              <w:t xml:space="preserve"> pro </w:t>
            </w:r>
            <w:r w:rsidR="009E13DB" w:rsidRPr="006D67EB">
              <w:rPr>
                <w:rFonts w:cs="Arial"/>
                <w:b/>
              </w:rPr>
              <w:br/>
              <w:t>varianty financování a garan</w:t>
            </w:r>
            <w:r>
              <w:rPr>
                <w:rFonts w:cs="Arial"/>
                <w:b/>
              </w:rPr>
              <w:t>ce návratnosti [v EUR/</w:t>
            </w:r>
            <w:proofErr w:type="spellStart"/>
            <w:r>
              <w:rPr>
                <w:rFonts w:cs="Arial"/>
                <w:b/>
              </w:rPr>
              <w:t>MWh</w:t>
            </w:r>
            <w:proofErr w:type="spellEnd"/>
            <w:r>
              <w:rPr>
                <w:rFonts w:cs="Arial"/>
                <w:b/>
              </w:rPr>
              <w:t>]</w:t>
            </w:r>
          </w:p>
        </w:tc>
      </w:tr>
      <w:tr w:rsidR="009E13DB" w:rsidRPr="0093170C" w:rsidTr="003F62D8">
        <w:tc>
          <w:tcPr>
            <w:tcW w:w="1842" w:type="dxa"/>
            <w:vMerge/>
            <w:tcBorders>
              <w:left w:val="single" w:sz="12" w:space="0" w:color="auto"/>
              <w:bottom w:val="single" w:sz="12" w:space="0" w:color="auto"/>
              <w:right w:val="single" w:sz="2" w:space="0" w:color="auto"/>
            </w:tcBorders>
            <w:shd w:val="clear" w:color="auto" w:fill="B8CCE4" w:themeFill="accent1" w:themeFillTint="66"/>
            <w:vAlign w:val="center"/>
          </w:tcPr>
          <w:p w:rsidR="009E13DB" w:rsidRPr="0093170C" w:rsidRDefault="009E13DB" w:rsidP="006D67EB">
            <w:pPr>
              <w:spacing w:after="0"/>
              <w:jc w:val="center"/>
              <w:rPr>
                <w:rFonts w:cs="Arial"/>
              </w:rPr>
            </w:pPr>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9E13DB" w:rsidRPr="0093170C" w:rsidRDefault="009E13DB" w:rsidP="006D67EB">
            <w:pPr>
              <w:spacing w:after="0"/>
              <w:jc w:val="center"/>
              <w:rPr>
                <w:rFonts w:cs="Arial"/>
              </w:rPr>
            </w:pPr>
            <w:r w:rsidRPr="0093170C">
              <w:rPr>
                <w:rFonts w:cs="Arial"/>
              </w:rPr>
              <w:t>1.</w:t>
            </w:r>
            <w:r w:rsidR="007470AD">
              <w:rPr>
                <w:rFonts w:cs="Arial"/>
              </w:rPr>
              <w:t xml:space="preserve"> </w:t>
            </w:r>
            <w:r w:rsidRPr="0093170C">
              <w:rPr>
                <w:rFonts w:cs="Arial"/>
              </w:rPr>
              <w:t xml:space="preserve">Soukromý investor, </w:t>
            </w:r>
            <w:proofErr w:type="spellStart"/>
            <w:r w:rsidRPr="0093170C">
              <w:rPr>
                <w:rFonts w:cs="Arial"/>
              </w:rPr>
              <w:t>CfD</w:t>
            </w:r>
            <w:proofErr w:type="spellEnd"/>
          </w:p>
          <w:p w:rsidR="009E13DB" w:rsidRPr="0093170C" w:rsidRDefault="009E13DB" w:rsidP="006D67EB">
            <w:pPr>
              <w:spacing w:after="0"/>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9E13DB" w:rsidRPr="0093170C" w:rsidRDefault="009E13DB" w:rsidP="006D67EB">
            <w:pPr>
              <w:spacing w:after="0"/>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9E13DB" w:rsidRPr="0093170C" w:rsidRDefault="009E13DB" w:rsidP="006D67EB">
            <w:pPr>
              <w:spacing w:after="0"/>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1842"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9E13DB" w:rsidRPr="0093170C" w:rsidRDefault="009E13DB" w:rsidP="006D67EB">
            <w:pPr>
              <w:spacing w:after="0"/>
              <w:jc w:val="center"/>
              <w:rPr>
                <w:rFonts w:cs="Arial"/>
              </w:rPr>
            </w:pPr>
            <w:r w:rsidRPr="0093170C">
              <w:rPr>
                <w:rFonts w:cs="Arial"/>
              </w:rPr>
              <w:t xml:space="preserve">4. Stát bez </w:t>
            </w:r>
            <w:proofErr w:type="spellStart"/>
            <w:r w:rsidRPr="0093170C">
              <w:rPr>
                <w:rFonts w:cs="Arial"/>
              </w:rPr>
              <w:t>CfD</w:t>
            </w:r>
            <w:proofErr w:type="spellEnd"/>
          </w:p>
        </w:tc>
      </w:tr>
      <w:tr w:rsidR="009E13DB" w:rsidRPr="0093170C" w:rsidTr="003F62D8">
        <w:tc>
          <w:tcPr>
            <w:tcW w:w="1842" w:type="dxa"/>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-8 až -13</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-4 až -8</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-8 až -13</w:t>
            </w:r>
          </w:p>
        </w:tc>
        <w:tc>
          <w:tcPr>
            <w:tcW w:w="1842" w:type="dxa"/>
            <w:tcBorders>
              <w:top w:val="single" w:sz="12" w:space="0" w:color="auto"/>
              <w:left w:val="single" w:sz="4" w:space="0" w:color="auto"/>
              <w:bottom w:val="dotted" w:sz="4" w:space="0" w:color="808080" w:themeColor="background1" w:themeShade="80"/>
              <w:right w:val="single" w:sz="12" w:space="0" w:color="auto"/>
            </w:tcBorders>
            <w:shd w:val="clear" w:color="auto" w:fill="auto"/>
          </w:tcPr>
          <w:p w:rsidR="009E13DB" w:rsidRPr="0093170C" w:rsidRDefault="009E13DB" w:rsidP="006D67EB">
            <w:pPr>
              <w:spacing w:after="0"/>
              <w:jc w:val="center"/>
              <w:rPr>
                <w:rFonts w:cs="Arial"/>
              </w:rPr>
            </w:pPr>
            <w:r w:rsidRPr="0093170C">
              <w:rPr>
                <w:rFonts w:cs="Arial"/>
              </w:rPr>
              <w:t>0</w:t>
            </w:r>
          </w:p>
        </w:tc>
      </w:tr>
      <w:tr w:rsidR="009E13DB"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62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-1 až -6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 až</w:t>
            </w:r>
            <w:r w:rsidR="002B2C89">
              <w:rPr>
                <w:rFonts w:cs="Arial"/>
              </w:rPr>
              <w:t xml:space="preserve"> </w:t>
            </w:r>
            <w:r w:rsidRPr="0093170C">
              <w:rPr>
                <w:rFonts w:cs="Arial"/>
              </w:rPr>
              <w:t>-1</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-1 až -6</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9E13DB" w:rsidRPr="0093170C" w:rsidRDefault="009E13DB" w:rsidP="006D67EB">
            <w:pPr>
              <w:spacing w:after="0"/>
              <w:jc w:val="center"/>
              <w:rPr>
                <w:rFonts w:cs="Arial"/>
              </w:rPr>
            </w:pPr>
            <w:r w:rsidRPr="0093170C">
              <w:rPr>
                <w:rFonts w:cs="Arial"/>
              </w:rPr>
              <w:t>0</w:t>
            </w:r>
          </w:p>
        </w:tc>
      </w:tr>
      <w:tr w:rsidR="009E13DB"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76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 až 3</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6 až 3</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 až 3</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9E13DB" w:rsidRPr="0093170C" w:rsidRDefault="009E13DB" w:rsidP="006D67EB">
            <w:pPr>
              <w:spacing w:after="0"/>
              <w:jc w:val="center"/>
              <w:rPr>
                <w:rFonts w:cs="Arial"/>
              </w:rPr>
            </w:pPr>
            <w:r w:rsidRPr="0093170C">
              <w:rPr>
                <w:rFonts w:cs="Arial"/>
              </w:rPr>
              <w:t>0</w:t>
            </w:r>
          </w:p>
        </w:tc>
      </w:tr>
      <w:tr w:rsidR="009E13DB"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88</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1 až 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6 až 9</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1 až 6</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9E13DB" w:rsidRPr="0093170C" w:rsidRDefault="009E13DB" w:rsidP="006D67EB">
            <w:pPr>
              <w:spacing w:after="0"/>
              <w:jc w:val="center"/>
              <w:rPr>
                <w:rFonts w:cs="Arial"/>
              </w:rPr>
            </w:pPr>
            <w:r w:rsidRPr="0093170C">
              <w:rPr>
                <w:rFonts w:cs="Arial"/>
              </w:rPr>
              <w:t>0</w:t>
            </w:r>
          </w:p>
        </w:tc>
      </w:tr>
      <w:tr w:rsidR="009E13DB" w:rsidRPr="0093170C" w:rsidTr="00D22FE5">
        <w:tc>
          <w:tcPr>
            <w:tcW w:w="1842" w:type="dxa"/>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99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 až 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9 až 12</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tcPr>
          <w:p w:rsidR="009E13DB" w:rsidRPr="0093170C" w:rsidRDefault="009E13DB" w:rsidP="006D67EB">
            <w:pPr>
              <w:spacing w:after="0"/>
              <w:jc w:val="center"/>
              <w:rPr>
                <w:rFonts w:cs="Arial"/>
              </w:rPr>
            </w:pPr>
            <w:r w:rsidRPr="0093170C">
              <w:rPr>
                <w:rFonts w:cs="Arial"/>
              </w:rPr>
              <w:t>3 až 9</w:t>
            </w:r>
          </w:p>
        </w:tc>
        <w:tc>
          <w:tcPr>
            <w:tcW w:w="1842" w:type="dxa"/>
            <w:tcBorders>
              <w:top w:val="dotted" w:sz="4" w:space="0" w:color="808080" w:themeColor="background1" w:themeShade="80"/>
              <w:left w:val="single" w:sz="4" w:space="0" w:color="auto"/>
              <w:bottom w:val="thinThickSmallGap" w:sz="24" w:space="0" w:color="auto"/>
              <w:right w:val="single" w:sz="12" w:space="0" w:color="auto"/>
            </w:tcBorders>
            <w:shd w:val="clear" w:color="auto" w:fill="auto"/>
          </w:tcPr>
          <w:p w:rsidR="009E13DB" w:rsidRPr="0093170C" w:rsidRDefault="009E13DB" w:rsidP="006D67EB">
            <w:pPr>
              <w:spacing w:after="0"/>
              <w:jc w:val="center"/>
              <w:rPr>
                <w:rFonts w:cs="Arial"/>
              </w:rPr>
            </w:pPr>
            <w:r w:rsidRPr="0093170C">
              <w:rPr>
                <w:rFonts w:cs="Arial"/>
              </w:rPr>
              <w:t>0</w:t>
            </w:r>
          </w:p>
        </w:tc>
      </w:tr>
    </w:tbl>
    <w:p w:rsidR="009E13DB" w:rsidRDefault="009E13DB" w:rsidP="00AA7720">
      <w:pPr>
        <w:spacing w:line="240" w:lineRule="auto"/>
        <w:jc w:val="both"/>
        <w:rPr>
          <w:rFonts w:cs="Arial"/>
          <w:i/>
          <w:sz w:val="20"/>
        </w:rPr>
      </w:pPr>
      <w:r w:rsidRPr="00AA7720">
        <w:rPr>
          <w:rFonts w:cs="Arial"/>
          <w:i/>
          <w:sz w:val="20"/>
        </w:rPr>
        <w:t>Pozn.: Pozitivní znaménko znamená pozitivní dopad pro spotřebitele, tj. spotřebitel daný rok obdrží od výrobce poplatek a vice versa.</w:t>
      </w:r>
      <w:r w:rsidRPr="00AA7720">
        <w:rPr>
          <w:i/>
          <w:sz w:val="20"/>
        </w:rPr>
        <w:t xml:space="preserve"> </w:t>
      </w:r>
      <w:r w:rsidRPr="00AA7720">
        <w:rPr>
          <w:rFonts w:cs="Arial"/>
          <w:i/>
          <w:sz w:val="20"/>
        </w:rPr>
        <w:t>Hodnoty jsou v cenách roku 2015.</w:t>
      </w:r>
      <w:r w:rsidR="00E206DA">
        <w:rPr>
          <w:rFonts w:cs="Arial"/>
          <w:i/>
          <w:sz w:val="20"/>
        </w:rPr>
        <w:t xml:space="preserve"> Uvedené hodnoty též reflektují předpoklad, že náklady které by potenciálně hradil stát</w:t>
      </w:r>
      <w:r w:rsidR="00F923D9">
        <w:rPr>
          <w:rFonts w:cs="Arial"/>
          <w:i/>
          <w:sz w:val="20"/>
        </w:rPr>
        <w:t>,</w:t>
      </w:r>
      <w:r w:rsidR="00E206DA">
        <w:rPr>
          <w:rFonts w:cs="Arial"/>
          <w:i/>
          <w:sz w:val="20"/>
        </w:rPr>
        <w:t xml:space="preserve"> by se také promítl</w:t>
      </w:r>
      <w:r w:rsidR="00E52399">
        <w:rPr>
          <w:rFonts w:cs="Arial"/>
          <w:i/>
          <w:sz w:val="20"/>
        </w:rPr>
        <w:t>y</w:t>
      </w:r>
      <w:r w:rsidR="00E206DA">
        <w:rPr>
          <w:rFonts w:cs="Arial"/>
          <w:i/>
          <w:sz w:val="20"/>
        </w:rPr>
        <w:t xml:space="preserve"> jistým způsobem do konečné ceny elektřiny pro zákazníka.</w:t>
      </w:r>
    </w:p>
    <w:p w:rsidR="008B65B5" w:rsidRPr="008B65B5" w:rsidRDefault="008B65B5" w:rsidP="00AA7720">
      <w:pPr>
        <w:spacing w:line="240" w:lineRule="auto"/>
        <w:jc w:val="both"/>
        <w:rPr>
          <w:rFonts w:cs="Arial"/>
        </w:rPr>
      </w:pPr>
      <w:r>
        <w:rPr>
          <w:rFonts w:cs="Arial"/>
        </w:rPr>
        <w:lastRenderedPageBreak/>
        <w:t xml:space="preserve">Následující tabulka uvádí odhad </w:t>
      </w:r>
      <w:r w:rsidR="00A53510">
        <w:rPr>
          <w:rFonts w:cs="Arial"/>
        </w:rPr>
        <w:t>výdajů</w:t>
      </w:r>
      <w:r>
        <w:rPr>
          <w:rFonts w:cs="Arial"/>
        </w:rPr>
        <w:t xml:space="preserve"> (případně </w:t>
      </w:r>
      <w:r w:rsidR="00A53510">
        <w:rPr>
          <w:rFonts w:cs="Arial"/>
        </w:rPr>
        <w:t>příjmů</w:t>
      </w:r>
      <w:r>
        <w:rPr>
          <w:rFonts w:cs="Arial"/>
        </w:rPr>
        <w:t xml:space="preserve">) hrazených konečným zákazníkem, za předpokladu, že by se </w:t>
      </w:r>
      <w:r w:rsidR="00A53510">
        <w:rPr>
          <w:rFonts w:cs="Arial"/>
        </w:rPr>
        <w:t>výdaje</w:t>
      </w:r>
      <w:r>
        <w:rPr>
          <w:rFonts w:cs="Arial"/>
        </w:rPr>
        <w:t xml:space="preserve"> (</w:t>
      </w:r>
      <w:r w:rsidR="00A53510">
        <w:rPr>
          <w:rFonts w:cs="Arial"/>
        </w:rPr>
        <w:t>příjmy</w:t>
      </w:r>
      <w:r>
        <w:rPr>
          <w:rFonts w:cs="Arial"/>
        </w:rPr>
        <w:t>) uvedené výše plně promítly do konečné ceny. Hodnoty uvedené v tabulce vycházejí z nižších hodnot uvedených v tabulce výše. Pro kvantifikaci byl využit odhad spotřeby elektrické energie netto pro rok 2025 z dokumentu ASEK na úrovni 66</w:t>
      </w:r>
      <w:r w:rsidR="00A53510">
        <w:rPr>
          <w:rFonts w:cs="Arial"/>
        </w:rPr>
        <w:t xml:space="preserve"> 429,1 </w:t>
      </w:r>
      <w:proofErr w:type="spellStart"/>
      <w:r w:rsidR="00A53510">
        <w:rPr>
          <w:rFonts w:cs="Arial"/>
        </w:rPr>
        <w:t>GWh</w:t>
      </w:r>
      <w:proofErr w:type="spellEnd"/>
      <w:r w:rsidR="00A53510">
        <w:rPr>
          <w:rFonts w:cs="Arial"/>
        </w:rPr>
        <w:t xml:space="preserve">. Předpokladem je, že by se výdaje (příjmy) rovnoměrně rozložili na jednotku dané spotřeby. </w:t>
      </w:r>
    </w:p>
    <w:p w:rsidR="008B65B5" w:rsidRDefault="008B65B5" w:rsidP="008B65B5">
      <w:pPr>
        <w:pStyle w:val="Titulek"/>
        <w:keepNext/>
      </w:pPr>
      <w:bookmarkStart w:id="237" w:name="_Toc420058323"/>
      <w:r w:rsidRPr="008B65B5">
        <w:rPr>
          <w:color w:val="auto"/>
          <w:sz w:val="22"/>
        </w:rPr>
        <w:t xml:space="preserve">Tabulka č. </w:t>
      </w:r>
      <w:r w:rsidRPr="008B65B5">
        <w:rPr>
          <w:color w:val="auto"/>
          <w:sz w:val="22"/>
        </w:rPr>
        <w:fldChar w:fldCharType="begin"/>
      </w:r>
      <w:r w:rsidRPr="008B65B5">
        <w:rPr>
          <w:color w:val="auto"/>
          <w:sz w:val="22"/>
        </w:rPr>
        <w:instrText xml:space="preserve"> SEQ Tabulka_č. \* ARABIC </w:instrText>
      </w:r>
      <w:r w:rsidRPr="008B65B5">
        <w:rPr>
          <w:color w:val="auto"/>
          <w:sz w:val="22"/>
        </w:rPr>
        <w:fldChar w:fldCharType="separate"/>
      </w:r>
      <w:r w:rsidR="00FE1E1A">
        <w:rPr>
          <w:noProof/>
          <w:color w:val="auto"/>
          <w:sz w:val="22"/>
        </w:rPr>
        <w:t>19</w:t>
      </w:r>
      <w:r w:rsidRPr="008B65B5">
        <w:rPr>
          <w:color w:val="auto"/>
          <w:sz w:val="22"/>
        </w:rPr>
        <w:fldChar w:fldCharType="end"/>
      </w:r>
      <w:r w:rsidRPr="008B65B5">
        <w:rPr>
          <w:color w:val="auto"/>
          <w:sz w:val="22"/>
        </w:rPr>
        <w:t xml:space="preserve">: </w:t>
      </w:r>
      <w:r w:rsidRPr="008B65B5">
        <w:rPr>
          <w:rFonts w:cs="Arial"/>
          <w:b w:val="0"/>
          <w:i/>
          <w:color w:val="auto"/>
          <w:sz w:val="22"/>
        </w:rPr>
        <w:t>Odhad dopadu na zákazníka v rámci konečné ceny (varianta 1)</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8B65B5" w:rsidRPr="0093170C" w:rsidTr="00AD4BD3">
        <w:tc>
          <w:tcPr>
            <w:tcW w:w="1842" w:type="dxa"/>
            <w:vMerge w:val="restart"/>
            <w:tcBorders>
              <w:top w:val="single" w:sz="12" w:space="0" w:color="auto"/>
              <w:left w:val="single" w:sz="12" w:space="0" w:color="auto"/>
              <w:right w:val="single" w:sz="2" w:space="0" w:color="auto"/>
            </w:tcBorders>
            <w:shd w:val="clear" w:color="auto" w:fill="B8CCE4" w:themeFill="accent1" w:themeFillTint="66"/>
            <w:vAlign w:val="center"/>
          </w:tcPr>
          <w:p w:rsidR="008B65B5" w:rsidRPr="006D67EB" w:rsidRDefault="008B65B5" w:rsidP="00F6390E">
            <w:pPr>
              <w:spacing w:after="0"/>
              <w:jc w:val="center"/>
              <w:rPr>
                <w:rFonts w:cs="Arial"/>
                <w:b/>
              </w:rPr>
            </w:pPr>
            <w:r w:rsidRPr="006D67EB">
              <w:rPr>
                <w:rFonts w:cs="Arial"/>
                <w:b/>
              </w:rPr>
              <w:t xml:space="preserve">Scénář ceny elektřiny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p>
        </w:tc>
        <w:tc>
          <w:tcPr>
            <w:tcW w:w="7368" w:type="dxa"/>
            <w:gridSpan w:val="4"/>
            <w:tcBorders>
              <w:top w:val="single" w:sz="12" w:space="0" w:color="auto"/>
              <w:left w:val="single" w:sz="2" w:space="0" w:color="auto"/>
              <w:bottom w:val="single" w:sz="2" w:space="0" w:color="auto"/>
              <w:right w:val="single" w:sz="12" w:space="0" w:color="auto"/>
            </w:tcBorders>
            <w:shd w:val="clear" w:color="auto" w:fill="B8CCE4" w:themeFill="accent1" w:themeFillTint="66"/>
            <w:vAlign w:val="center"/>
          </w:tcPr>
          <w:p w:rsidR="008B65B5" w:rsidRPr="006D67EB" w:rsidRDefault="008B65B5" w:rsidP="00F6390E">
            <w:pPr>
              <w:spacing w:after="0"/>
              <w:jc w:val="center"/>
              <w:rPr>
                <w:rFonts w:cs="Arial"/>
                <w:b/>
              </w:rPr>
            </w:pPr>
            <w:r w:rsidRPr="006D67EB">
              <w:rPr>
                <w:rFonts w:cs="Arial"/>
                <w:b/>
              </w:rPr>
              <w:t xml:space="preserve">Roční dopad na zákazníka </w:t>
            </w:r>
            <w:r w:rsidR="004114DE">
              <w:rPr>
                <w:rFonts w:cs="Arial"/>
                <w:b/>
                <w:lang w:val="en-US"/>
              </w:rPr>
              <w:t>[</w:t>
            </w:r>
            <w:r>
              <w:rPr>
                <w:rFonts w:cs="Arial"/>
                <w:b/>
              </w:rPr>
              <w:t>Kč/</w:t>
            </w:r>
            <w:proofErr w:type="spellStart"/>
            <w:r>
              <w:rPr>
                <w:rFonts w:cs="Arial"/>
                <w:b/>
              </w:rPr>
              <w:t>MWh</w:t>
            </w:r>
            <w:proofErr w:type="spellEnd"/>
            <w:r w:rsidR="004114DE">
              <w:rPr>
                <w:rFonts w:cs="Arial"/>
                <w:b/>
              </w:rPr>
              <w:t>]</w:t>
            </w:r>
            <w:r w:rsidRPr="006D67EB">
              <w:rPr>
                <w:rFonts w:cs="Arial"/>
                <w:b/>
              </w:rPr>
              <w:t xml:space="preserve"> pro </w:t>
            </w:r>
            <w:r w:rsidRPr="006D67EB">
              <w:rPr>
                <w:rFonts w:cs="Arial"/>
                <w:b/>
              </w:rPr>
              <w:br/>
              <w:t xml:space="preserve">varianty financování a garance návratnosti </w:t>
            </w:r>
            <w:r w:rsidR="00F6390E">
              <w:rPr>
                <w:rFonts w:cs="Arial"/>
                <w:b/>
                <w:lang w:val="en-US"/>
              </w:rPr>
              <w:t>[</w:t>
            </w:r>
            <w:r w:rsidRPr="006D67EB">
              <w:rPr>
                <w:rFonts w:cs="Arial"/>
                <w:b/>
              </w:rPr>
              <w:t>EUR/</w:t>
            </w:r>
            <w:proofErr w:type="spellStart"/>
            <w:r w:rsidRPr="006D67EB">
              <w:rPr>
                <w:rFonts w:cs="Arial"/>
                <w:b/>
              </w:rPr>
              <w:t>MWh</w:t>
            </w:r>
            <w:proofErr w:type="spellEnd"/>
            <w:r w:rsidR="00F6390E">
              <w:rPr>
                <w:rFonts w:cs="Arial"/>
                <w:b/>
              </w:rPr>
              <w:t>]</w:t>
            </w:r>
            <w:r w:rsidRPr="006D67EB">
              <w:rPr>
                <w:rFonts w:cs="Arial"/>
                <w:b/>
              </w:rPr>
              <w:t>:</w:t>
            </w:r>
          </w:p>
        </w:tc>
      </w:tr>
      <w:tr w:rsidR="008B65B5" w:rsidRPr="0093170C" w:rsidTr="003F62D8">
        <w:tc>
          <w:tcPr>
            <w:tcW w:w="1842" w:type="dxa"/>
            <w:vMerge/>
            <w:tcBorders>
              <w:left w:val="single" w:sz="12" w:space="0" w:color="auto"/>
              <w:bottom w:val="single" w:sz="12" w:space="0" w:color="auto"/>
              <w:right w:val="single" w:sz="2" w:space="0" w:color="auto"/>
            </w:tcBorders>
            <w:shd w:val="clear" w:color="auto" w:fill="B8CCE4" w:themeFill="accent1" w:themeFillTint="66"/>
            <w:vAlign w:val="center"/>
          </w:tcPr>
          <w:p w:rsidR="008B65B5" w:rsidRPr="0093170C" w:rsidRDefault="008B65B5" w:rsidP="00AD4BD3">
            <w:pPr>
              <w:spacing w:after="0"/>
              <w:jc w:val="center"/>
              <w:rPr>
                <w:rFonts w:cs="Arial"/>
              </w:rPr>
            </w:pPr>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8B65B5" w:rsidRPr="0093170C" w:rsidRDefault="008B65B5" w:rsidP="00AD4BD3">
            <w:pPr>
              <w:spacing w:after="0"/>
              <w:jc w:val="center"/>
              <w:rPr>
                <w:rFonts w:cs="Arial"/>
              </w:rPr>
            </w:pPr>
            <w:r w:rsidRPr="0093170C">
              <w:rPr>
                <w:rFonts w:cs="Arial"/>
              </w:rPr>
              <w:t>1.</w:t>
            </w:r>
            <w:r>
              <w:rPr>
                <w:rFonts w:cs="Arial"/>
              </w:rPr>
              <w:t xml:space="preserve"> </w:t>
            </w:r>
            <w:r w:rsidRPr="0093170C">
              <w:rPr>
                <w:rFonts w:cs="Arial"/>
              </w:rPr>
              <w:t xml:space="preserve">Soukromý investor, </w:t>
            </w:r>
            <w:proofErr w:type="spellStart"/>
            <w:r w:rsidRPr="0093170C">
              <w:rPr>
                <w:rFonts w:cs="Arial"/>
              </w:rPr>
              <w:t>CfD</w:t>
            </w:r>
            <w:proofErr w:type="spellEnd"/>
          </w:p>
          <w:p w:rsidR="008B65B5" w:rsidRPr="0093170C" w:rsidRDefault="008B65B5" w:rsidP="00AD4BD3">
            <w:pPr>
              <w:spacing w:after="0"/>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8B65B5" w:rsidRPr="0093170C" w:rsidRDefault="008B65B5" w:rsidP="00AD4BD3">
            <w:pPr>
              <w:spacing w:after="0"/>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8B65B5" w:rsidRPr="0093170C" w:rsidRDefault="008B65B5" w:rsidP="00AD4BD3">
            <w:pPr>
              <w:spacing w:after="0"/>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1842"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8B65B5" w:rsidRPr="0093170C" w:rsidRDefault="008B65B5" w:rsidP="00AD4BD3">
            <w:pPr>
              <w:spacing w:after="0"/>
              <w:jc w:val="center"/>
              <w:rPr>
                <w:rFonts w:cs="Arial"/>
              </w:rPr>
            </w:pPr>
            <w:r w:rsidRPr="0093170C">
              <w:rPr>
                <w:rFonts w:cs="Arial"/>
              </w:rPr>
              <w:t xml:space="preserve">4. Stát bez </w:t>
            </w:r>
            <w:proofErr w:type="spellStart"/>
            <w:r w:rsidRPr="0093170C">
              <w:rPr>
                <w:rFonts w:cs="Arial"/>
              </w:rPr>
              <w:t>CfD</w:t>
            </w:r>
            <w:proofErr w:type="spellEnd"/>
          </w:p>
        </w:tc>
      </w:tr>
      <w:tr w:rsidR="008B65B5" w:rsidRPr="0093170C" w:rsidTr="003F62D8">
        <w:tc>
          <w:tcPr>
            <w:tcW w:w="1842" w:type="dxa"/>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8B65B5" w:rsidRPr="0093170C" w:rsidRDefault="008B65B5" w:rsidP="00AD4BD3">
            <w:pPr>
              <w:spacing w:after="0"/>
              <w:jc w:val="center"/>
              <w:rPr>
                <w:rFonts w:cs="Arial"/>
              </w:rPr>
            </w:pPr>
            <w:r w:rsidRPr="0093170C">
              <w:rPr>
                <w:rFonts w:cs="Arial"/>
              </w:rPr>
              <w:t>35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-195,5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-120,3</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-195,5</w:t>
            </w:r>
          </w:p>
        </w:tc>
        <w:tc>
          <w:tcPr>
            <w:tcW w:w="1842" w:type="dxa"/>
            <w:tcBorders>
              <w:top w:val="single" w:sz="12" w:space="0" w:color="auto"/>
              <w:left w:val="single" w:sz="4" w:space="0" w:color="auto"/>
              <w:bottom w:val="dotted" w:sz="4" w:space="0" w:color="808080" w:themeColor="background1" w:themeShade="80"/>
              <w:right w:val="single" w:sz="12" w:space="0" w:color="auto"/>
            </w:tcBorders>
            <w:shd w:val="clear" w:color="auto" w:fill="auto"/>
          </w:tcPr>
          <w:p w:rsidR="008B65B5" w:rsidRPr="0093170C" w:rsidRDefault="008B65B5" w:rsidP="00AD4BD3">
            <w:pPr>
              <w:spacing w:after="0"/>
              <w:jc w:val="center"/>
              <w:rPr>
                <w:rFonts w:cs="Arial"/>
              </w:rPr>
            </w:pPr>
            <w:r w:rsidRPr="0093170C">
              <w:rPr>
                <w:rFonts w:cs="Arial"/>
              </w:rPr>
              <w:t>0</w:t>
            </w:r>
          </w:p>
        </w:tc>
      </w:tr>
      <w:tr w:rsidR="008B65B5"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8B65B5" w:rsidRPr="0093170C" w:rsidRDefault="008B65B5" w:rsidP="00AD4BD3">
            <w:pPr>
              <w:spacing w:after="0"/>
              <w:jc w:val="center"/>
              <w:rPr>
                <w:rFonts w:cs="Arial"/>
              </w:rPr>
            </w:pPr>
            <w:r w:rsidRPr="0093170C">
              <w:rPr>
                <w:rFonts w:cs="Arial"/>
              </w:rPr>
              <w:t>62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-15,0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8B65B5" w:rsidRPr="0093170C" w:rsidRDefault="008B65B5" w:rsidP="00AD4BD3">
            <w:pPr>
              <w:spacing w:after="0"/>
              <w:jc w:val="center"/>
              <w:rPr>
                <w:rFonts w:cs="Arial"/>
              </w:rPr>
            </w:pPr>
            <w:r w:rsidRPr="0093170C">
              <w:rPr>
                <w:rFonts w:cs="Arial"/>
              </w:rPr>
              <w:t>0</w:t>
            </w:r>
          </w:p>
        </w:tc>
      </w:tr>
      <w:tr w:rsidR="008B65B5"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8B65B5" w:rsidRPr="0093170C" w:rsidRDefault="008B65B5" w:rsidP="00AD4BD3">
            <w:pPr>
              <w:spacing w:after="0"/>
              <w:jc w:val="center"/>
              <w:rPr>
                <w:rFonts w:cs="Arial"/>
              </w:rPr>
            </w:pPr>
            <w:r w:rsidRPr="0093170C">
              <w:rPr>
                <w:rFonts w:cs="Arial"/>
              </w:rPr>
              <w:t>76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8B65B5" w:rsidRPr="0093170C" w:rsidRDefault="008B65B5" w:rsidP="00AD4BD3">
            <w:pPr>
              <w:spacing w:after="0"/>
              <w:jc w:val="center"/>
              <w:rPr>
                <w:rFonts w:cs="Arial"/>
              </w:rPr>
            </w:pPr>
            <w:r w:rsidRPr="0093170C">
              <w:rPr>
                <w:rFonts w:cs="Arial"/>
              </w:rPr>
              <w:t>0</w:t>
            </w:r>
          </w:p>
        </w:tc>
      </w:tr>
      <w:tr w:rsidR="008B65B5"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8B65B5" w:rsidRPr="0093170C" w:rsidRDefault="008B65B5" w:rsidP="00AD4BD3">
            <w:pPr>
              <w:spacing w:after="0"/>
              <w:jc w:val="center"/>
              <w:rPr>
                <w:rFonts w:cs="Arial"/>
              </w:rPr>
            </w:pPr>
            <w:r w:rsidRPr="0093170C">
              <w:rPr>
                <w:rFonts w:cs="Arial"/>
              </w:rPr>
              <w:t>88</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15,0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15,0</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8B65B5" w:rsidRPr="0093170C" w:rsidRDefault="008B65B5" w:rsidP="00AD4BD3">
            <w:pPr>
              <w:spacing w:after="0"/>
              <w:jc w:val="center"/>
              <w:rPr>
                <w:rFonts w:cs="Arial"/>
              </w:rPr>
            </w:pPr>
            <w:r w:rsidRPr="0093170C">
              <w:rPr>
                <w:rFonts w:cs="Arial"/>
              </w:rPr>
              <w:t>0</w:t>
            </w:r>
          </w:p>
        </w:tc>
      </w:tr>
      <w:tr w:rsidR="008B65B5" w:rsidRPr="0093170C" w:rsidTr="00D22FE5">
        <w:tc>
          <w:tcPr>
            <w:tcW w:w="1842" w:type="dxa"/>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8B65B5" w:rsidRPr="0093170C" w:rsidRDefault="008B65B5" w:rsidP="00AD4BD3">
            <w:pPr>
              <w:spacing w:after="0"/>
              <w:jc w:val="center"/>
              <w:rPr>
                <w:rFonts w:cs="Arial"/>
              </w:rPr>
            </w:pPr>
            <w:r w:rsidRPr="0093170C">
              <w:rPr>
                <w:rFonts w:cs="Arial"/>
              </w:rPr>
              <w:t>99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45,1</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135,4</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8B65B5" w:rsidRPr="00010761" w:rsidRDefault="008B65B5" w:rsidP="00AD4BD3">
            <w:pPr>
              <w:spacing w:after="0" w:line="240" w:lineRule="auto"/>
              <w:jc w:val="center"/>
              <w:rPr>
                <w:rFonts w:ascii="Calibri" w:eastAsia="Times New Roman" w:hAnsi="Calibri" w:cs="Calibri"/>
                <w:color w:val="000000"/>
                <w:lang w:eastAsia="cs-CZ"/>
              </w:rPr>
            </w:pPr>
            <w:r w:rsidRPr="00010761">
              <w:rPr>
                <w:rFonts w:ascii="Calibri" w:eastAsia="Times New Roman" w:hAnsi="Calibri" w:cs="Arial"/>
                <w:color w:val="000000"/>
                <w:lang w:eastAsia="cs-CZ"/>
              </w:rPr>
              <w:t>45,1</w:t>
            </w:r>
          </w:p>
        </w:tc>
        <w:tc>
          <w:tcPr>
            <w:tcW w:w="1842" w:type="dxa"/>
            <w:tcBorders>
              <w:top w:val="dotted" w:sz="4" w:space="0" w:color="808080" w:themeColor="background1" w:themeShade="80"/>
              <w:left w:val="single" w:sz="4" w:space="0" w:color="auto"/>
              <w:bottom w:val="thinThickSmallGap" w:sz="24" w:space="0" w:color="auto"/>
              <w:right w:val="single" w:sz="12" w:space="0" w:color="auto"/>
            </w:tcBorders>
            <w:shd w:val="clear" w:color="auto" w:fill="auto"/>
          </w:tcPr>
          <w:p w:rsidR="008B65B5" w:rsidRPr="0093170C" w:rsidRDefault="008B65B5" w:rsidP="00AD4BD3">
            <w:pPr>
              <w:spacing w:after="0"/>
              <w:jc w:val="center"/>
              <w:rPr>
                <w:rFonts w:cs="Arial"/>
              </w:rPr>
            </w:pPr>
            <w:r w:rsidRPr="0093170C">
              <w:rPr>
                <w:rFonts w:cs="Arial"/>
              </w:rPr>
              <w:t>0</w:t>
            </w:r>
          </w:p>
        </w:tc>
      </w:tr>
    </w:tbl>
    <w:p w:rsidR="004D00ED" w:rsidRDefault="00A53510" w:rsidP="00A53510">
      <w:pPr>
        <w:spacing w:before="240" w:line="240" w:lineRule="auto"/>
        <w:rPr>
          <w:rFonts w:cs="Arial"/>
          <w:u w:val="single"/>
        </w:rPr>
      </w:pPr>
      <w:r w:rsidRPr="001B3793">
        <w:rPr>
          <w:rFonts w:cs="Arial"/>
        </w:rPr>
        <w:t xml:space="preserve">Následující tabulka uvádí obdobný modelový výpočet, také za předpokladu netto spotřeby elektřiny na úrovni 66 429,1 </w:t>
      </w:r>
      <w:proofErr w:type="spellStart"/>
      <w:r w:rsidRPr="001B3793">
        <w:rPr>
          <w:rFonts w:cs="Arial"/>
        </w:rPr>
        <w:t>GWh</w:t>
      </w:r>
      <w:proofErr w:type="spellEnd"/>
      <w:r w:rsidRPr="001B3793">
        <w:rPr>
          <w:rFonts w:cs="Arial"/>
        </w:rPr>
        <w:t xml:space="preserve">, avšak s použitím vyšších hodnot, které uvádí </w:t>
      </w:r>
      <w:r>
        <w:rPr>
          <w:rFonts w:cs="Arial"/>
          <w:u w:val="single"/>
        </w:rPr>
        <w:fldChar w:fldCharType="begin"/>
      </w:r>
      <w:r>
        <w:rPr>
          <w:rFonts w:cs="Arial"/>
          <w:u w:val="single"/>
        </w:rPr>
        <w:instrText xml:space="preserve"> REF _Ref410921111 \h </w:instrText>
      </w:r>
      <w:r>
        <w:rPr>
          <w:rFonts w:cs="Arial"/>
          <w:u w:val="single"/>
        </w:rPr>
      </w:r>
      <w:r>
        <w:rPr>
          <w:rFonts w:cs="Arial"/>
          <w:u w:val="single"/>
        </w:rPr>
        <w:fldChar w:fldCharType="separate"/>
      </w:r>
      <w:r w:rsidRPr="00AA7720">
        <w:t xml:space="preserve">Tabulka č. </w:t>
      </w:r>
      <w:r>
        <w:rPr>
          <w:noProof/>
        </w:rPr>
        <w:t>18</w:t>
      </w:r>
      <w:r>
        <w:rPr>
          <w:rFonts w:cs="Arial"/>
          <w:u w:val="single"/>
        </w:rPr>
        <w:fldChar w:fldCharType="end"/>
      </w:r>
      <w:r>
        <w:rPr>
          <w:rFonts w:cs="Arial"/>
          <w:u w:val="single"/>
        </w:rPr>
        <w:t>.</w:t>
      </w:r>
    </w:p>
    <w:p w:rsidR="00A53510" w:rsidRPr="00A53510" w:rsidRDefault="00A53510" w:rsidP="00A53510">
      <w:pPr>
        <w:pStyle w:val="Titulek"/>
        <w:keepNext/>
        <w:rPr>
          <w:color w:val="auto"/>
          <w:sz w:val="22"/>
        </w:rPr>
      </w:pPr>
      <w:bookmarkStart w:id="238" w:name="_Toc420058324"/>
      <w:r w:rsidRPr="00A53510">
        <w:rPr>
          <w:color w:val="auto"/>
          <w:sz w:val="22"/>
        </w:rPr>
        <w:t xml:space="preserve">Tabulka č. </w:t>
      </w:r>
      <w:r w:rsidRPr="00A53510">
        <w:rPr>
          <w:color w:val="auto"/>
          <w:sz w:val="22"/>
        </w:rPr>
        <w:fldChar w:fldCharType="begin"/>
      </w:r>
      <w:r w:rsidRPr="00A53510">
        <w:rPr>
          <w:color w:val="auto"/>
          <w:sz w:val="22"/>
        </w:rPr>
        <w:instrText xml:space="preserve"> SEQ Tabulka_č. \* ARABIC </w:instrText>
      </w:r>
      <w:r w:rsidRPr="00A53510">
        <w:rPr>
          <w:color w:val="auto"/>
          <w:sz w:val="22"/>
        </w:rPr>
        <w:fldChar w:fldCharType="separate"/>
      </w:r>
      <w:r w:rsidR="00FE1E1A">
        <w:rPr>
          <w:noProof/>
          <w:color w:val="auto"/>
          <w:sz w:val="22"/>
        </w:rPr>
        <w:t>20</w:t>
      </w:r>
      <w:r w:rsidRPr="00A53510">
        <w:rPr>
          <w:color w:val="auto"/>
          <w:sz w:val="22"/>
        </w:rPr>
        <w:fldChar w:fldCharType="end"/>
      </w:r>
      <w:r w:rsidRPr="00A53510">
        <w:rPr>
          <w:color w:val="auto"/>
          <w:sz w:val="22"/>
        </w:rPr>
        <w:t>:</w:t>
      </w:r>
      <w:r>
        <w:rPr>
          <w:color w:val="auto"/>
          <w:sz w:val="22"/>
        </w:rPr>
        <w:t xml:space="preserve"> </w:t>
      </w:r>
      <w:r w:rsidRPr="008B65B5">
        <w:rPr>
          <w:rFonts w:cs="Arial"/>
          <w:b w:val="0"/>
          <w:i/>
          <w:color w:val="auto"/>
          <w:sz w:val="22"/>
        </w:rPr>
        <w:t xml:space="preserve">Odhad dopadu na zákazníka v rámci konečné ceny (varianta </w:t>
      </w:r>
      <w:r>
        <w:rPr>
          <w:rFonts w:cs="Arial"/>
          <w:b w:val="0"/>
          <w:i/>
          <w:color w:val="auto"/>
          <w:sz w:val="22"/>
        </w:rPr>
        <w:t>2</w:t>
      </w:r>
      <w:r w:rsidRPr="008B65B5">
        <w:rPr>
          <w:rFonts w:cs="Arial"/>
          <w:b w:val="0"/>
          <w:i/>
          <w:color w:val="auto"/>
          <w:sz w:val="22"/>
        </w:rPr>
        <w:t>)</w:t>
      </w:r>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A53510" w:rsidRPr="0093170C" w:rsidTr="00D22FE5">
        <w:tc>
          <w:tcPr>
            <w:tcW w:w="1842" w:type="dxa"/>
            <w:vMerge w:val="restart"/>
            <w:tcBorders>
              <w:top w:val="single" w:sz="12" w:space="0" w:color="auto"/>
              <w:left w:val="single" w:sz="12" w:space="0" w:color="auto"/>
              <w:right w:val="single" w:sz="4" w:space="0" w:color="auto"/>
            </w:tcBorders>
            <w:shd w:val="clear" w:color="auto" w:fill="B8CCE4" w:themeFill="accent1" w:themeFillTint="66"/>
            <w:vAlign w:val="center"/>
          </w:tcPr>
          <w:p w:rsidR="00A53510" w:rsidRPr="006D67EB" w:rsidRDefault="00A53510" w:rsidP="00F6390E">
            <w:pPr>
              <w:spacing w:after="0"/>
              <w:jc w:val="center"/>
              <w:rPr>
                <w:rFonts w:cs="Arial"/>
                <w:b/>
              </w:rPr>
            </w:pPr>
            <w:r w:rsidRPr="006D67EB">
              <w:rPr>
                <w:rFonts w:cs="Arial"/>
                <w:b/>
              </w:rPr>
              <w:t xml:space="preserve">Scénář ceny elektřiny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p>
        </w:tc>
        <w:tc>
          <w:tcPr>
            <w:tcW w:w="7368" w:type="dxa"/>
            <w:gridSpan w:val="4"/>
            <w:tcBorders>
              <w:top w:val="single" w:sz="12" w:space="0" w:color="auto"/>
              <w:left w:val="single" w:sz="4" w:space="0" w:color="auto"/>
              <w:bottom w:val="single" w:sz="2" w:space="0" w:color="auto"/>
              <w:right w:val="single" w:sz="12" w:space="0" w:color="auto"/>
            </w:tcBorders>
            <w:shd w:val="clear" w:color="auto" w:fill="B8CCE4" w:themeFill="accent1" w:themeFillTint="66"/>
            <w:vAlign w:val="center"/>
          </w:tcPr>
          <w:p w:rsidR="00A53510" w:rsidRPr="006D67EB" w:rsidRDefault="00A53510" w:rsidP="00F6390E">
            <w:pPr>
              <w:spacing w:after="0"/>
              <w:jc w:val="center"/>
              <w:rPr>
                <w:rFonts w:cs="Arial"/>
                <w:b/>
              </w:rPr>
            </w:pPr>
            <w:r w:rsidRPr="006D67EB">
              <w:rPr>
                <w:rFonts w:cs="Arial"/>
                <w:b/>
              </w:rPr>
              <w:t xml:space="preserve">Roční dopad na zákazníka </w:t>
            </w:r>
            <w:r w:rsidR="00F6390E">
              <w:rPr>
                <w:rFonts w:cs="Arial"/>
                <w:b/>
              </w:rPr>
              <w:t>[</w:t>
            </w:r>
            <w:r>
              <w:rPr>
                <w:rFonts w:cs="Arial"/>
                <w:b/>
              </w:rPr>
              <w:t>Kč/</w:t>
            </w:r>
            <w:proofErr w:type="spellStart"/>
            <w:r>
              <w:rPr>
                <w:rFonts w:cs="Arial"/>
                <w:b/>
              </w:rPr>
              <w:t>MWh</w:t>
            </w:r>
            <w:proofErr w:type="spellEnd"/>
            <w:r w:rsidR="00F6390E">
              <w:rPr>
                <w:rFonts w:cs="Arial"/>
                <w:b/>
              </w:rPr>
              <w:t>]</w:t>
            </w:r>
            <w:r w:rsidRPr="006D67EB">
              <w:rPr>
                <w:rFonts w:cs="Arial"/>
                <w:b/>
              </w:rPr>
              <w:t xml:space="preserve"> pro </w:t>
            </w:r>
            <w:r w:rsidRPr="006D67EB">
              <w:rPr>
                <w:rFonts w:cs="Arial"/>
                <w:b/>
              </w:rPr>
              <w:br/>
              <w:t xml:space="preserve">varianty financování a garance návratnosti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r w:rsidRPr="006D67EB">
              <w:rPr>
                <w:rFonts w:cs="Arial"/>
                <w:b/>
              </w:rPr>
              <w:t>:</w:t>
            </w:r>
          </w:p>
        </w:tc>
      </w:tr>
      <w:tr w:rsidR="00A53510" w:rsidRPr="0093170C" w:rsidTr="003F62D8">
        <w:tc>
          <w:tcPr>
            <w:tcW w:w="1842" w:type="dxa"/>
            <w:vMerge/>
            <w:tcBorders>
              <w:left w:val="single" w:sz="12" w:space="0" w:color="auto"/>
              <w:bottom w:val="single" w:sz="12" w:space="0" w:color="auto"/>
              <w:right w:val="single" w:sz="4" w:space="0" w:color="auto"/>
            </w:tcBorders>
            <w:shd w:val="clear" w:color="auto" w:fill="B8CCE4" w:themeFill="accent1" w:themeFillTint="66"/>
            <w:vAlign w:val="center"/>
          </w:tcPr>
          <w:p w:rsidR="00A53510" w:rsidRPr="0093170C" w:rsidRDefault="00A53510" w:rsidP="00AD4BD3">
            <w:pPr>
              <w:spacing w:after="0"/>
              <w:jc w:val="center"/>
              <w:rPr>
                <w:rFonts w:cs="Arial"/>
              </w:rPr>
            </w:pPr>
          </w:p>
        </w:tc>
        <w:tc>
          <w:tcPr>
            <w:tcW w:w="1842" w:type="dxa"/>
            <w:tcBorders>
              <w:top w:val="single" w:sz="2" w:space="0" w:color="auto"/>
              <w:left w:val="single" w:sz="4" w:space="0" w:color="auto"/>
              <w:bottom w:val="single" w:sz="12" w:space="0" w:color="auto"/>
              <w:right w:val="single" w:sz="4" w:space="0" w:color="auto"/>
            </w:tcBorders>
            <w:shd w:val="clear" w:color="auto" w:fill="B8CCE4" w:themeFill="accent1" w:themeFillTint="66"/>
            <w:vAlign w:val="center"/>
          </w:tcPr>
          <w:p w:rsidR="00A53510" w:rsidRPr="0093170C" w:rsidRDefault="00A53510" w:rsidP="00AD4BD3">
            <w:pPr>
              <w:spacing w:after="0"/>
              <w:jc w:val="center"/>
              <w:rPr>
                <w:rFonts w:cs="Arial"/>
              </w:rPr>
            </w:pPr>
            <w:r w:rsidRPr="0093170C">
              <w:rPr>
                <w:rFonts w:cs="Arial"/>
              </w:rPr>
              <w:t>1.</w:t>
            </w:r>
            <w:r>
              <w:rPr>
                <w:rFonts w:cs="Arial"/>
              </w:rPr>
              <w:t xml:space="preserve"> </w:t>
            </w:r>
            <w:r w:rsidRPr="0093170C">
              <w:rPr>
                <w:rFonts w:cs="Arial"/>
              </w:rPr>
              <w:t xml:space="preserve">Soukromý investor, </w:t>
            </w:r>
            <w:proofErr w:type="spellStart"/>
            <w:r w:rsidRPr="0093170C">
              <w:rPr>
                <w:rFonts w:cs="Arial"/>
              </w:rPr>
              <w:t>CfD</w:t>
            </w:r>
            <w:proofErr w:type="spellEnd"/>
          </w:p>
          <w:p w:rsidR="00A53510" w:rsidRPr="0093170C" w:rsidRDefault="00A53510" w:rsidP="00AD4BD3">
            <w:pPr>
              <w:spacing w:after="0"/>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842" w:type="dxa"/>
            <w:tcBorders>
              <w:top w:val="single" w:sz="2" w:space="0" w:color="auto"/>
              <w:left w:val="single" w:sz="4" w:space="0" w:color="auto"/>
              <w:bottom w:val="single" w:sz="12" w:space="0" w:color="auto"/>
              <w:right w:val="single" w:sz="2" w:space="0" w:color="auto"/>
            </w:tcBorders>
            <w:shd w:val="clear" w:color="auto" w:fill="B8CCE4" w:themeFill="accent1" w:themeFillTint="66"/>
            <w:vAlign w:val="center"/>
          </w:tcPr>
          <w:p w:rsidR="00A53510" w:rsidRPr="0093170C" w:rsidRDefault="00A53510" w:rsidP="00AD4BD3">
            <w:pPr>
              <w:spacing w:after="0"/>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A53510" w:rsidRPr="0093170C" w:rsidRDefault="00A53510" w:rsidP="00AD4BD3">
            <w:pPr>
              <w:spacing w:after="0"/>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1842"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A53510" w:rsidRPr="0093170C" w:rsidRDefault="00A53510" w:rsidP="00AD4BD3">
            <w:pPr>
              <w:spacing w:after="0"/>
              <w:jc w:val="center"/>
              <w:rPr>
                <w:rFonts w:cs="Arial"/>
              </w:rPr>
            </w:pPr>
            <w:r w:rsidRPr="0093170C">
              <w:rPr>
                <w:rFonts w:cs="Arial"/>
              </w:rPr>
              <w:t xml:space="preserve">4. Stát bez </w:t>
            </w:r>
            <w:proofErr w:type="spellStart"/>
            <w:r w:rsidRPr="0093170C">
              <w:rPr>
                <w:rFonts w:cs="Arial"/>
              </w:rPr>
              <w:t>CfD</w:t>
            </w:r>
            <w:proofErr w:type="spellEnd"/>
          </w:p>
        </w:tc>
      </w:tr>
      <w:tr w:rsidR="00A53510" w:rsidRPr="0093170C" w:rsidTr="003F62D8">
        <w:tc>
          <w:tcPr>
            <w:tcW w:w="1842" w:type="dxa"/>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A53510" w:rsidRPr="0093170C" w:rsidRDefault="00A53510" w:rsidP="00AD4BD3">
            <w:pPr>
              <w:spacing w:after="0"/>
              <w:jc w:val="center"/>
              <w:rPr>
                <w:rFonts w:cs="Arial"/>
              </w:rPr>
            </w:pPr>
            <w:r w:rsidRPr="0093170C">
              <w:rPr>
                <w:rFonts w:cs="Arial"/>
              </w:rPr>
              <w:t>35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-120,3</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-60,2</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-120,3</w:t>
            </w:r>
          </w:p>
        </w:tc>
        <w:tc>
          <w:tcPr>
            <w:tcW w:w="1842" w:type="dxa"/>
            <w:tcBorders>
              <w:top w:val="single" w:sz="12" w:space="0" w:color="auto"/>
              <w:left w:val="single" w:sz="4" w:space="0" w:color="auto"/>
              <w:bottom w:val="dotted" w:sz="4" w:space="0" w:color="808080" w:themeColor="background1" w:themeShade="80"/>
              <w:right w:val="single" w:sz="12" w:space="0" w:color="auto"/>
            </w:tcBorders>
            <w:shd w:val="clear" w:color="auto" w:fill="auto"/>
          </w:tcPr>
          <w:p w:rsidR="00A53510" w:rsidRPr="0093170C" w:rsidRDefault="00A53510" w:rsidP="00AD4BD3">
            <w:pPr>
              <w:spacing w:after="0"/>
              <w:jc w:val="center"/>
              <w:rPr>
                <w:rFonts w:cs="Arial"/>
              </w:rPr>
            </w:pPr>
            <w:r w:rsidRPr="0093170C">
              <w:rPr>
                <w:rFonts w:cs="Arial"/>
              </w:rPr>
              <w:t>0</w:t>
            </w:r>
          </w:p>
        </w:tc>
      </w:tr>
      <w:tr w:rsidR="00A53510"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A53510" w:rsidRPr="0093170C" w:rsidRDefault="00A53510" w:rsidP="00AD4BD3">
            <w:pPr>
              <w:spacing w:after="0"/>
              <w:jc w:val="center"/>
              <w:rPr>
                <w:rFonts w:cs="Arial"/>
              </w:rPr>
            </w:pPr>
            <w:r w:rsidRPr="0093170C">
              <w:rPr>
                <w:rFonts w:cs="Arial"/>
              </w:rPr>
              <w:t>62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-15,0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-15,0</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A53510" w:rsidRPr="0093170C" w:rsidRDefault="00A53510" w:rsidP="00AD4BD3">
            <w:pPr>
              <w:spacing w:after="0"/>
              <w:jc w:val="center"/>
              <w:rPr>
                <w:rFonts w:cs="Arial"/>
              </w:rPr>
            </w:pPr>
            <w:r w:rsidRPr="0093170C">
              <w:rPr>
                <w:rFonts w:cs="Arial"/>
              </w:rPr>
              <w:t>0</w:t>
            </w:r>
          </w:p>
        </w:tc>
      </w:tr>
      <w:tr w:rsidR="00A53510"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A53510" w:rsidRPr="0093170C" w:rsidRDefault="00A53510" w:rsidP="00AD4BD3">
            <w:pPr>
              <w:spacing w:after="0"/>
              <w:jc w:val="center"/>
              <w:rPr>
                <w:rFonts w:cs="Arial"/>
              </w:rPr>
            </w:pPr>
            <w:r w:rsidRPr="0093170C">
              <w:rPr>
                <w:rFonts w:cs="Arial"/>
              </w:rPr>
              <w:t>76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45,1</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A53510" w:rsidRPr="0093170C" w:rsidRDefault="00A53510" w:rsidP="00AD4BD3">
            <w:pPr>
              <w:spacing w:after="0"/>
              <w:jc w:val="center"/>
              <w:rPr>
                <w:rFonts w:cs="Arial"/>
              </w:rPr>
            </w:pPr>
            <w:r w:rsidRPr="0093170C">
              <w:rPr>
                <w:rFonts w:cs="Arial"/>
              </w:rPr>
              <w:t>0</w:t>
            </w:r>
          </w:p>
        </w:tc>
      </w:tr>
      <w:tr w:rsidR="00A53510" w:rsidRPr="0093170C" w:rsidTr="00D22FE5">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A53510" w:rsidRPr="0093170C" w:rsidRDefault="00A53510" w:rsidP="00AD4BD3">
            <w:pPr>
              <w:spacing w:after="0"/>
              <w:jc w:val="center"/>
              <w:rPr>
                <w:rFonts w:cs="Arial"/>
              </w:rPr>
            </w:pPr>
            <w:r w:rsidRPr="0093170C">
              <w:rPr>
                <w:rFonts w:cs="Arial"/>
              </w:rPr>
              <w:t>88</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135,4</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90,2</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A53510" w:rsidRPr="0093170C" w:rsidRDefault="00A53510" w:rsidP="00AD4BD3">
            <w:pPr>
              <w:spacing w:after="0"/>
              <w:jc w:val="center"/>
              <w:rPr>
                <w:rFonts w:cs="Arial"/>
              </w:rPr>
            </w:pPr>
            <w:r w:rsidRPr="0093170C">
              <w:rPr>
                <w:rFonts w:cs="Arial"/>
              </w:rPr>
              <w:t>0</w:t>
            </w:r>
          </w:p>
        </w:tc>
      </w:tr>
      <w:tr w:rsidR="00A53510" w:rsidRPr="0093170C" w:rsidTr="00D22FE5">
        <w:tc>
          <w:tcPr>
            <w:tcW w:w="1842" w:type="dxa"/>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A53510" w:rsidRPr="0093170C" w:rsidRDefault="00A53510" w:rsidP="00AD4BD3">
            <w:pPr>
              <w:spacing w:after="0"/>
              <w:jc w:val="center"/>
              <w:rPr>
                <w:rFonts w:cs="Arial"/>
              </w:rPr>
            </w:pPr>
            <w:r w:rsidRPr="0093170C">
              <w:rPr>
                <w:rFonts w:cs="Arial"/>
              </w:rPr>
              <w:t>99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135,4</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180,5</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A53510" w:rsidRDefault="00A53510" w:rsidP="00AD4BD3">
            <w:pPr>
              <w:spacing w:after="0" w:line="240" w:lineRule="auto"/>
              <w:jc w:val="center"/>
              <w:rPr>
                <w:rFonts w:ascii="Calibri" w:hAnsi="Calibri" w:cs="Calibri"/>
                <w:color w:val="000000"/>
              </w:rPr>
            </w:pPr>
            <w:r>
              <w:rPr>
                <w:rFonts w:ascii="Calibri" w:hAnsi="Calibri" w:cs="Arial"/>
                <w:color w:val="000000"/>
              </w:rPr>
              <w:t>135,4</w:t>
            </w:r>
          </w:p>
        </w:tc>
        <w:tc>
          <w:tcPr>
            <w:tcW w:w="1842" w:type="dxa"/>
            <w:tcBorders>
              <w:top w:val="dotted" w:sz="4" w:space="0" w:color="808080" w:themeColor="background1" w:themeShade="80"/>
              <w:left w:val="single" w:sz="4" w:space="0" w:color="auto"/>
              <w:bottom w:val="thinThickSmallGap" w:sz="24" w:space="0" w:color="auto"/>
              <w:right w:val="single" w:sz="12" w:space="0" w:color="auto"/>
            </w:tcBorders>
            <w:shd w:val="clear" w:color="auto" w:fill="auto"/>
          </w:tcPr>
          <w:p w:rsidR="00A53510" w:rsidRPr="0093170C" w:rsidRDefault="00A53510" w:rsidP="00AD4BD3">
            <w:pPr>
              <w:spacing w:after="0"/>
              <w:jc w:val="center"/>
              <w:rPr>
                <w:rFonts w:cs="Arial"/>
              </w:rPr>
            </w:pPr>
            <w:r w:rsidRPr="0093170C">
              <w:rPr>
                <w:rFonts w:cs="Arial"/>
              </w:rPr>
              <w:t>0</w:t>
            </w:r>
          </w:p>
        </w:tc>
      </w:tr>
    </w:tbl>
    <w:p w:rsidR="004B10B9" w:rsidRDefault="00FE1E1A" w:rsidP="00FE1E1A">
      <w:pPr>
        <w:spacing w:before="240" w:line="240" w:lineRule="auto"/>
        <w:jc w:val="both"/>
        <w:rPr>
          <w:rFonts w:cs="Arial"/>
        </w:rPr>
      </w:pPr>
      <w:r w:rsidRPr="001B3793">
        <w:rPr>
          <w:rFonts w:cs="Arial"/>
        </w:rPr>
        <w:t xml:space="preserve">V případě varianty 3 byly použity nižší intervalové hodnoty a modelově byl přepočet proveden s použitím spotřeby elektřiny netto v roce 2040 dle ASEK, která odpovídá úrovni 74 071,9 </w:t>
      </w:r>
      <w:proofErr w:type="spellStart"/>
      <w:r w:rsidRPr="001B3793">
        <w:rPr>
          <w:rFonts w:cs="Arial"/>
        </w:rPr>
        <w:t>GWh</w:t>
      </w:r>
      <w:proofErr w:type="spellEnd"/>
      <w:r w:rsidRPr="001B3793">
        <w:rPr>
          <w:rFonts w:cs="Arial"/>
        </w:rPr>
        <w:t>. Varianta 4 vychází ze stejné úrovně spotřeby elektřiny netto jako varianta 3, avšak předpokládá vyšší z intervalové hodnoty, které uvád</w:t>
      </w:r>
      <w:r w:rsidRPr="00D22FE5">
        <w:rPr>
          <w:rFonts w:cs="Arial"/>
        </w:rPr>
        <w:t xml:space="preserve">í </w:t>
      </w:r>
      <w:r>
        <w:rPr>
          <w:rFonts w:cs="Arial"/>
          <w:u w:val="single"/>
        </w:rPr>
        <w:fldChar w:fldCharType="begin"/>
      </w:r>
      <w:r>
        <w:rPr>
          <w:rFonts w:cs="Arial"/>
          <w:u w:val="single"/>
        </w:rPr>
        <w:instrText xml:space="preserve"> REF _Ref410921111 \h </w:instrText>
      </w:r>
      <w:r>
        <w:rPr>
          <w:rFonts w:cs="Arial"/>
          <w:u w:val="single"/>
        </w:rPr>
      </w:r>
      <w:r>
        <w:rPr>
          <w:rFonts w:cs="Arial"/>
          <w:u w:val="single"/>
        </w:rPr>
        <w:fldChar w:fldCharType="separate"/>
      </w:r>
      <w:r w:rsidRPr="00AA7720">
        <w:t xml:space="preserve">Tabulka č. </w:t>
      </w:r>
      <w:r>
        <w:rPr>
          <w:noProof/>
        </w:rPr>
        <w:t>18</w:t>
      </w:r>
      <w:r>
        <w:rPr>
          <w:rFonts w:cs="Arial"/>
          <w:u w:val="single"/>
        </w:rPr>
        <w:fldChar w:fldCharType="end"/>
      </w:r>
      <w:r w:rsidRPr="00D22FE5">
        <w:rPr>
          <w:rFonts w:cs="Arial"/>
        </w:rPr>
        <w:t>.</w:t>
      </w:r>
    </w:p>
    <w:p w:rsidR="004B10B9" w:rsidRDefault="004B10B9">
      <w:pPr>
        <w:rPr>
          <w:rFonts w:cs="Arial"/>
        </w:rPr>
      </w:pPr>
      <w:r>
        <w:rPr>
          <w:rFonts w:cs="Arial"/>
        </w:rPr>
        <w:br w:type="page"/>
      </w:r>
    </w:p>
    <w:p w:rsidR="00FE1E1A" w:rsidRDefault="00FE1E1A" w:rsidP="00FE1E1A">
      <w:pPr>
        <w:pStyle w:val="Titulek"/>
        <w:keepNext/>
      </w:pPr>
      <w:bookmarkStart w:id="239" w:name="_Toc420058325"/>
      <w:r w:rsidRPr="00FE1E1A">
        <w:rPr>
          <w:color w:val="auto"/>
          <w:sz w:val="22"/>
        </w:rPr>
        <w:lastRenderedPageBreak/>
        <w:t xml:space="preserve">Tabulka č. </w:t>
      </w:r>
      <w:r w:rsidRPr="00FE1E1A">
        <w:rPr>
          <w:color w:val="auto"/>
          <w:sz w:val="22"/>
        </w:rPr>
        <w:fldChar w:fldCharType="begin"/>
      </w:r>
      <w:r w:rsidRPr="00FE1E1A">
        <w:rPr>
          <w:color w:val="auto"/>
          <w:sz w:val="22"/>
        </w:rPr>
        <w:instrText xml:space="preserve"> SEQ Tabulka_č. \* ARABIC </w:instrText>
      </w:r>
      <w:r w:rsidRPr="00FE1E1A">
        <w:rPr>
          <w:color w:val="auto"/>
          <w:sz w:val="22"/>
        </w:rPr>
        <w:fldChar w:fldCharType="separate"/>
      </w:r>
      <w:r>
        <w:rPr>
          <w:noProof/>
          <w:color w:val="auto"/>
          <w:sz w:val="22"/>
        </w:rPr>
        <w:t>21</w:t>
      </w:r>
      <w:r w:rsidRPr="00FE1E1A">
        <w:rPr>
          <w:color w:val="auto"/>
          <w:sz w:val="22"/>
        </w:rPr>
        <w:fldChar w:fldCharType="end"/>
      </w:r>
      <w:r w:rsidRPr="00FE1E1A">
        <w:rPr>
          <w:color w:val="auto"/>
          <w:sz w:val="22"/>
        </w:rPr>
        <w:t xml:space="preserve">: </w:t>
      </w:r>
      <w:r w:rsidRPr="008B65B5">
        <w:rPr>
          <w:rFonts w:cs="Arial"/>
          <w:b w:val="0"/>
          <w:i/>
          <w:color w:val="auto"/>
          <w:sz w:val="22"/>
        </w:rPr>
        <w:t xml:space="preserve">Odhad dopadu na zákazníka v rámci konečné ceny (varianta </w:t>
      </w:r>
      <w:r>
        <w:rPr>
          <w:rFonts w:cs="Arial"/>
          <w:b w:val="0"/>
          <w:i/>
          <w:color w:val="auto"/>
          <w:sz w:val="22"/>
        </w:rPr>
        <w:t>3</w:t>
      </w:r>
      <w:r w:rsidRPr="008B65B5">
        <w:rPr>
          <w:rFonts w:cs="Arial"/>
          <w:b w:val="0"/>
          <w:i/>
          <w:color w:val="auto"/>
          <w:sz w:val="22"/>
        </w:rPr>
        <w:t>)</w:t>
      </w:r>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FE1E1A" w:rsidRPr="0093170C" w:rsidTr="00AD4BD3">
        <w:tc>
          <w:tcPr>
            <w:tcW w:w="1842" w:type="dxa"/>
            <w:vMerge w:val="restart"/>
            <w:tcBorders>
              <w:top w:val="single" w:sz="12" w:space="0" w:color="auto"/>
              <w:left w:val="single" w:sz="12" w:space="0" w:color="auto"/>
              <w:right w:val="single" w:sz="2" w:space="0" w:color="auto"/>
            </w:tcBorders>
            <w:shd w:val="clear" w:color="auto" w:fill="B8CCE4" w:themeFill="accent1" w:themeFillTint="66"/>
            <w:vAlign w:val="center"/>
          </w:tcPr>
          <w:p w:rsidR="00FE1E1A" w:rsidRPr="006D67EB" w:rsidRDefault="00FE1E1A" w:rsidP="00F6390E">
            <w:pPr>
              <w:spacing w:after="0"/>
              <w:jc w:val="center"/>
              <w:rPr>
                <w:rFonts w:cs="Arial"/>
                <w:b/>
              </w:rPr>
            </w:pPr>
            <w:r w:rsidRPr="006D67EB">
              <w:rPr>
                <w:rFonts w:cs="Arial"/>
                <w:b/>
              </w:rPr>
              <w:t xml:space="preserve">Scénář ceny elektřiny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p>
        </w:tc>
        <w:tc>
          <w:tcPr>
            <w:tcW w:w="7368" w:type="dxa"/>
            <w:gridSpan w:val="4"/>
            <w:tcBorders>
              <w:top w:val="single" w:sz="12" w:space="0" w:color="auto"/>
              <w:left w:val="single" w:sz="2" w:space="0" w:color="auto"/>
              <w:bottom w:val="single" w:sz="2" w:space="0" w:color="auto"/>
              <w:right w:val="single" w:sz="12" w:space="0" w:color="auto"/>
            </w:tcBorders>
            <w:shd w:val="clear" w:color="auto" w:fill="B8CCE4" w:themeFill="accent1" w:themeFillTint="66"/>
            <w:vAlign w:val="center"/>
          </w:tcPr>
          <w:p w:rsidR="00FE1E1A" w:rsidRPr="006D67EB" w:rsidRDefault="00FE1E1A" w:rsidP="00F6390E">
            <w:pPr>
              <w:spacing w:after="0"/>
              <w:jc w:val="center"/>
              <w:rPr>
                <w:rFonts w:cs="Arial"/>
                <w:b/>
              </w:rPr>
            </w:pPr>
            <w:r w:rsidRPr="006D67EB">
              <w:rPr>
                <w:rFonts w:cs="Arial"/>
                <w:b/>
              </w:rPr>
              <w:t xml:space="preserve">Roční dopad na zákazníka </w:t>
            </w:r>
            <w:r w:rsidR="00F6390E">
              <w:rPr>
                <w:rFonts w:cs="Arial"/>
                <w:b/>
              </w:rPr>
              <w:t>[</w:t>
            </w:r>
            <w:r>
              <w:rPr>
                <w:rFonts w:cs="Arial"/>
                <w:b/>
              </w:rPr>
              <w:t>Kč/</w:t>
            </w:r>
            <w:proofErr w:type="spellStart"/>
            <w:r>
              <w:rPr>
                <w:rFonts w:cs="Arial"/>
                <w:b/>
              </w:rPr>
              <w:t>MWh</w:t>
            </w:r>
            <w:proofErr w:type="spellEnd"/>
            <w:r w:rsidR="00F6390E">
              <w:rPr>
                <w:rFonts w:cs="Arial"/>
                <w:b/>
              </w:rPr>
              <w:t>]</w:t>
            </w:r>
            <w:r w:rsidRPr="006D67EB">
              <w:rPr>
                <w:rFonts w:cs="Arial"/>
                <w:b/>
              </w:rPr>
              <w:t xml:space="preserve"> pro </w:t>
            </w:r>
            <w:r w:rsidRPr="006D67EB">
              <w:rPr>
                <w:rFonts w:cs="Arial"/>
                <w:b/>
              </w:rPr>
              <w:br/>
              <w:t xml:space="preserve">varianty financování a garance návratnosti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r w:rsidRPr="006D67EB">
              <w:rPr>
                <w:rFonts w:cs="Arial"/>
                <w:b/>
              </w:rPr>
              <w:t>:</w:t>
            </w:r>
          </w:p>
        </w:tc>
      </w:tr>
      <w:tr w:rsidR="00FE1E1A" w:rsidRPr="0093170C" w:rsidTr="003F62D8">
        <w:tc>
          <w:tcPr>
            <w:tcW w:w="1842" w:type="dxa"/>
            <w:vMerge/>
            <w:tcBorders>
              <w:left w:val="single" w:sz="1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1.</w:t>
            </w:r>
            <w:r>
              <w:rPr>
                <w:rFonts w:cs="Arial"/>
              </w:rPr>
              <w:t xml:space="preserve"> </w:t>
            </w:r>
            <w:r w:rsidRPr="0093170C">
              <w:rPr>
                <w:rFonts w:cs="Arial"/>
              </w:rPr>
              <w:t xml:space="preserve">Soukromý investor, </w:t>
            </w:r>
            <w:proofErr w:type="spellStart"/>
            <w:r w:rsidRPr="0093170C">
              <w:rPr>
                <w:rFonts w:cs="Arial"/>
              </w:rPr>
              <w:t>CfD</w:t>
            </w:r>
            <w:proofErr w:type="spellEnd"/>
          </w:p>
          <w:p w:rsidR="00FE1E1A" w:rsidRPr="0093170C" w:rsidRDefault="00FE1E1A" w:rsidP="00AD4BD3">
            <w:pPr>
              <w:spacing w:after="0"/>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1842"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4. Stát bez </w:t>
            </w:r>
            <w:proofErr w:type="spellStart"/>
            <w:r w:rsidRPr="0093170C">
              <w:rPr>
                <w:rFonts w:cs="Arial"/>
              </w:rPr>
              <w:t>CfD</w:t>
            </w:r>
            <w:proofErr w:type="spellEnd"/>
          </w:p>
        </w:tc>
      </w:tr>
      <w:tr w:rsidR="00FE1E1A" w:rsidRPr="0093170C" w:rsidTr="003F62D8">
        <w:tc>
          <w:tcPr>
            <w:tcW w:w="1842" w:type="dxa"/>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35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-175,5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-108,0</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-175,5</w:t>
            </w:r>
          </w:p>
        </w:tc>
        <w:tc>
          <w:tcPr>
            <w:tcW w:w="1842" w:type="dxa"/>
            <w:tcBorders>
              <w:top w:val="single" w:sz="12" w:space="0" w:color="auto"/>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62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-13,5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76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88</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13,5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13,5</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99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121,5</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0"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thinThickSmallGap" w:sz="24" w:space="0" w:color="auto"/>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bl>
    <w:p w:rsidR="00FE1E1A" w:rsidRDefault="00FE1E1A" w:rsidP="009E13DB">
      <w:pPr>
        <w:spacing w:line="240" w:lineRule="auto"/>
        <w:rPr>
          <w:rFonts w:cs="Arial"/>
          <w:u w:val="single"/>
        </w:rPr>
      </w:pPr>
    </w:p>
    <w:p w:rsidR="00FE1E1A" w:rsidRDefault="00FE1E1A" w:rsidP="00FE1E1A">
      <w:pPr>
        <w:pStyle w:val="Titulek"/>
        <w:keepNext/>
      </w:pPr>
      <w:bookmarkStart w:id="240" w:name="_Toc420058326"/>
      <w:r w:rsidRPr="00FE1E1A">
        <w:rPr>
          <w:color w:val="auto"/>
          <w:sz w:val="22"/>
        </w:rPr>
        <w:t xml:space="preserve">Tabulka č. </w:t>
      </w:r>
      <w:r w:rsidRPr="00FE1E1A">
        <w:rPr>
          <w:color w:val="auto"/>
          <w:sz w:val="22"/>
        </w:rPr>
        <w:fldChar w:fldCharType="begin"/>
      </w:r>
      <w:r w:rsidRPr="00FE1E1A">
        <w:rPr>
          <w:color w:val="auto"/>
          <w:sz w:val="22"/>
        </w:rPr>
        <w:instrText xml:space="preserve"> SEQ Tabulka_č. \* ARABIC </w:instrText>
      </w:r>
      <w:r w:rsidRPr="00FE1E1A">
        <w:rPr>
          <w:color w:val="auto"/>
          <w:sz w:val="22"/>
        </w:rPr>
        <w:fldChar w:fldCharType="separate"/>
      </w:r>
      <w:r w:rsidRPr="00FE1E1A">
        <w:rPr>
          <w:color w:val="auto"/>
          <w:sz w:val="22"/>
        </w:rPr>
        <w:t>22</w:t>
      </w:r>
      <w:r w:rsidRPr="00FE1E1A">
        <w:rPr>
          <w:color w:val="auto"/>
          <w:sz w:val="22"/>
        </w:rPr>
        <w:fldChar w:fldCharType="end"/>
      </w:r>
      <w:r w:rsidRPr="00FE1E1A">
        <w:rPr>
          <w:color w:val="auto"/>
          <w:sz w:val="22"/>
        </w:rPr>
        <w:t xml:space="preserve">: </w:t>
      </w:r>
      <w:r w:rsidRPr="008B65B5">
        <w:rPr>
          <w:rFonts w:cs="Arial"/>
          <w:b w:val="0"/>
          <w:i/>
          <w:color w:val="auto"/>
          <w:sz w:val="22"/>
        </w:rPr>
        <w:t xml:space="preserve">Odhad dopadu na zákazníka v rámci konečné ceny (varianta </w:t>
      </w:r>
      <w:r>
        <w:rPr>
          <w:rFonts w:cs="Arial"/>
          <w:b w:val="0"/>
          <w:i/>
          <w:color w:val="auto"/>
          <w:sz w:val="22"/>
        </w:rPr>
        <w:t>4</w:t>
      </w:r>
      <w:r w:rsidRPr="008B65B5">
        <w:rPr>
          <w:rFonts w:cs="Arial"/>
          <w:b w:val="0"/>
          <w:i/>
          <w:color w:val="auto"/>
          <w:sz w:val="22"/>
        </w:rPr>
        <w:t>)</w:t>
      </w:r>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FE1E1A" w:rsidRPr="0093170C" w:rsidTr="00AD4BD3">
        <w:tc>
          <w:tcPr>
            <w:tcW w:w="1842" w:type="dxa"/>
            <w:vMerge w:val="restart"/>
            <w:tcBorders>
              <w:top w:val="single" w:sz="12" w:space="0" w:color="auto"/>
              <w:left w:val="single" w:sz="12" w:space="0" w:color="auto"/>
              <w:right w:val="single" w:sz="2" w:space="0" w:color="auto"/>
            </w:tcBorders>
            <w:shd w:val="clear" w:color="auto" w:fill="B8CCE4" w:themeFill="accent1" w:themeFillTint="66"/>
            <w:vAlign w:val="center"/>
          </w:tcPr>
          <w:p w:rsidR="00FE1E1A" w:rsidRPr="006D67EB" w:rsidRDefault="00FE1E1A" w:rsidP="00F6390E">
            <w:pPr>
              <w:spacing w:after="0"/>
              <w:jc w:val="center"/>
              <w:rPr>
                <w:rFonts w:cs="Arial"/>
                <w:b/>
              </w:rPr>
            </w:pPr>
            <w:r w:rsidRPr="006D67EB">
              <w:rPr>
                <w:rFonts w:cs="Arial"/>
                <w:b/>
              </w:rPr>
              <w:t xml:space="preserve">Scénář ceny elektřiny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p>
        </w:tc>
        <w:tc>
          <w:tcPr>
            <w:tcW w:w="7368" w:type="dxa"/>
            <w:gridSpan w:val="4"/>
            <w:tcBorders>
              <w:top w:val="single" w:sz="12" w:space="0" w:color="auto"/>
              <w:left w:val="single" w:sz="2" w:space="0" w:color="auto"/>
              <w:bottom w:val="single" w:sz="2" w:space="0" w:color="auto"/>
              <w:right w:val="single" w:sz="12" w:space="0" w:color="auto"/>
            </w:tcBorders>
            <w:shd w:val="clear" w:color="auto" w:fill="B8CCE4" w:themeFill="accent1" w:themeFillTint="66"/>
            <w:vAlign w:val="center"/>
          </w:tcPr>
          <w:p w:rsidR="00FE1E1A" w:rsidRPr="006D67EB" w:rsidRDefault="00FE1E1A" w:rsidP="00F6390E">
            <w:pPr>
              <w:spacing w:after="0"/>
              <w:jc w:val="center"/>
              <w:rPr>
                <w:rFonts w:cs="Arial"/>
                <w:b/>
              </w:rPr>
            </w:pPr>
            <w:r w:rsidRPr="006D67EB">
              <w:rPr>
                <w:rFonts w:cs="Arial"/>
                <w:b/>
              </w:rPr>
              <w:t xml:space="preserve">Roční dopad na zákazníka </w:t>
            </w:r>
            <w:r w:rsidR="00F6390E">
              <w:rPr>
                <w:rFonts w:cs="Arial"/>
                <w:b/>
              </w:rPr>
              <w:t>[</w:t>
            </w:r>
            <w:r>
              <w:rPr>
                <w:rFonts w:cs="Arial"/>
                <w:b/>
              </w:rPr>
              <w:t>Kč/</w:t>
            </w:r>
            <w:proofErr w:type="spellStart"/>
            <w:r>
              <w:rPr>
                <w:rFonts w:cs="Arial"/>
                <w:b/>
              </w:rPr>
              <w:t>MWh</w:t>
            </w:r>
            <w:proofErr w:type="spellEnd"/>
            <w:r w:rsidR="00F6390E">
              <w:rPr>
                <w:rFonts w:cs="Arial"/>
                <w:b/>
              </w:rPr>
              <w:t>]</w:t>
            </w:r>
            <w:r w:rsidRPr="006D67EB">
              <w:rPr>
                <w:rFonts w:cs="Arial"/>
                <w:b/>
              </w:rPr>
              <w:t xml:space="preserve"> pro </w:t>
            </w:r>
            <w:r w:rsidRPr="006D67EB">
              <w:rPr>
                <w:rFonts w:cs="Arial"/>
                <w:b/>
              </w:rPr>
              <w:br/>
              <w:t xml:space="preserve">varianty financování a garance návratnosti </w:t>
            </w:r>
            <w:r w:rsidR="00F6390E">
              <w:rPr>
                <w:rFonts w:cs="Arial"/>
                <w:b/>
              </w:rPr>
              <w:t>[</w:t>
            </w:r>
            <w:r w:rsidRPr="006D67EB">
              <w:rPr>
                <w:rFonts w:cs="Arial"/>
                <w:b/>
              </w:rPr>
              <w:t>EUR/</w:t>
            </w:r>
            <w:proofErr w:type="spellStart"/>
            <w:r w:rsidRPr="006D67EB">
              <w:rPr>
                <w:rFonts w:cs="Arial"/>
                <w:b/>
              </w:rPr>
              <w:t>MWh</w:t>
            </w:r>
            <w:proofErr w:type="spellEnd"/>
            <w:r w:rsidR="00F6390E">
              <w:rPr>
                <w:rFonts w:cs="Arial"/>
                <w:b/>
              </w:rPr>
              <w:t>]</w:t>
            </w:r>
            <w:r w:rsidRPr="006D67EB">
              <w:rPr>
                <w:rFonts w:cs="Arial"/>
                <w:b/>
              </w:rPr>
              <w:t>:</w:t>
            </w:r>
          </w:p>
        </w:tc>
      </w:tr>
      <w:tr w:rsidR="00FE1E1A" w:rsidRPr="0093170C" w:rsidTr="003F62D8">
        <w:tc>
          <w:tcPr>
            <w:tcW w:w="1842" w:type="dxa"/>
            <w:vMerge/>
            <w:tcBorders>
              <w:left w:val="single" w:sz="1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1.</w:t>
            </w:r>
            <w:r>
              <w:rPr>
                <w:rFonts w:cs="Arial"/>
              </w:rPr>
              <w:t xml:space="preserve"> </w:t>
            </w:r>
            <w:r w:rsidRPr="0093170C">
              <w:rPr>
                <w:rFonts w:cs="Arial"/>
              </w:rPr>
              <w:t xml:space="preserve">Soukromý investor, </w:t>
            </w:r>
            <w:proofErr w:type="spellStart"/>
            <w:r w:rsidRPr="0093170C">
              <w:rPr>
                <w:rFonts w:cs="Arial"/>
              </w:rPr>
              <w:t>CfD</w:t>
            </w:r>
            <w:proofErr w:type="spellEnd"/>
          </w:p>
          <w:p w:rsidR="00FE1E1A" w:rsidRPr="0093170C" w:rsidRDefault="00FE1E1A" w:rsidP="00AD4BD3">
            <w:pPr>
              <w:spacing w:after="0"/>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842" w:type="dxa"/>
            <w:tcBorders>
              <w:top w:val="single" w:sz="2" w:space="0" w:color="auto"/>
              <w:left w:val="single" w:sz="2" w:space="0" w:color="auto"/>
              <w:bottom w:val="single" w:sz="12" w:space="0" w:color="auto"/>
              <w:right w:val="single" w:sz="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1842"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FE1E1A" w:rsidRPr="0093170C" w:rsidRDefault="00FE1E1A" w:rsidP="00AD4BD3">
            <w:pPr>
              <w:spacing w:after="0"/>
              <w:jc w:val="center"/>
              <w:rPr>
                <w:rFonts w:cs="Arial"/>
              </w:rPr>
            </w:pPr>
            <w:r w:rsidRPr="0093170C">
              <w:rPr>
                <w:rFonts w:cs="Arial"/>
              </w:rPr>
              <w:t xml:space="preserve">4. Stát bez </w:t>
            </w:r>
            <w:proofErr w:type="spellStart"/>
            <w:r w:rsidRPr="0093170C">
              <w:rPr>
                <w:rFonts w:cs="Arial"/>
              </w:rPr>
              <w:t>CfD</w:t>
            </w:r>
            <w:proofErr w:type="spellEnd"/>
          </w:p>
        </w:tc>
      </w:tr>
      <w:tr w:rsidR="00FE1E1A" w:rsidRPr="0093170C" w:rsidTr="003F62D8">
        <w:tc>
          <w:tcPr>
            <w:tcW w:w="1842" w:type="dxa"/>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35</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-108,0</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-54,0</w:t>
            </w:r>
          </w:p>
        </w:tc>
        <w:tc>
          <w:tcPr>
            <w:tcW w:w="1842" w:type="dxa"/>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-108,0</w:t>
            </w:r>
          </w:p>
        </w:tc>
        <w:tc>
          <w:tcPr>
            <w:tcW w:w="1842" w:type="dxa"/>
            <w:tcBorders>
              <w:top w:val="single" w:sz="12" w:space="0" w:color="auto"/>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62</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-13,5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-13,5</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76</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40,5</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88</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121,5</w:t>
            </w:r>
          </w:p>
        </w:tc>
        <w:tc>
          <w:tcPr>
            <w:tcW w:w="1842" w:type="dxa"/>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81,0</w:t>
            </w:r>
          </w:p>
        </w:tc>
        <w:tc>
          <w:tcPr>
            <w:tcW w:w="1842" w:type="dxa"/>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r w:rsidR="00FE1E1A" w:rsidRPr="0093170C" w:rsidTr="004B10B9">
        <w:tc>
          <w:tcPr>
            <w:tcW w:w="1842" w:type="dxa"/>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FE1E1A" w:rsidRPr="0093170C" w:rsidRDefault="00FE1E1A" w:rsidP="00AD4BD3">
            <w:pPr>
              <w:spacing w:after="0"/>
              <w:jc w:val="center"/>
              <w:rPr>
                <w:rFonts w:cs="Arial"/>
              </w:rPr>
            </w:pPr>
            <w:r w:rsidRPr="0093170C">
              <w:rPr>
                <w:rFonts w:cs="Arial"/>
              </w:rPr>
              <w:t>99</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121,5</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162,0</w:t>
            </w:r>
          </w:p>
        </w:tc>
        <w:tc>
          <w:tcPr>
            <w:tcW w:w="1842" w:type="dxa"/>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FE1E1A" w:rsidRDefault="00FE1E1A" w:rsidP="00AD4BD3">
            <w:pPr>
              <w:spacing w:after="100" w:afterAutospacing="1" w:line="240" w:lineRule="auto"/>
              <w:jc w:val="center"/>
              <w:rPr>
                <w:rFonts w:ascii="Calibri" w:hAnsi="Calibri" w:cs="Calibri"/>
                <w:color w:val="000000"/>
              </w:rPr>
            </w:pPr>
            <w:r>
              <w:rPr>
                <w:rFonts w:ascii="Calibri" w:hAnsi="Calibri" w:cs="Arial"/>
                <w:color w:val="000000"/>
              </w:rPr>
              <w:t>121,5</w:t>
            </w:r>
          </w:p>
        </w:tc>
        <w:tc>
          <w:tcPr>
            <w:tcW w:w="1842" w:type="dxa"/>
            <w:tcBorders>
              <w:top w:val="dotted" w:sz="4" w:space="0" w:color="808080" w:themeColor="background1" w:themeShade="80"/>
              <w:left w:val="single" w:sz="4" w:space="0" w:color="auto"/>
              <w:bottom w:val="thinThickSmallGap" w:sz="24" w:space="0" w:color="auto"/>
              <w:right w:val="single" w:sz="12" w:space="0" w:color="auto"/>
            </w:tcBorders>
            <w:shd w:val="clear" w:color="auto" w:fill="auto"/>
          </w:tcPr>
          <w:p w:rsidR="00FE1E1A" w:rsidRPr="0093170C" w:rsidRDefault="00FE1E1A" w:rsidP="00AD4BD3">
            <w:pPr>
              <w:spacing w:after="0"/>
              <w:jc w:val="center"/>
              <w:rPr>
                <w:rFonts w:cs="Arial"/>
              </w:rPr>
            </w:pPr>
            <w:r w:rsidRPr="0093170C">
              <w:rPr>
                <w:rFonts w:cs="Arial"/>
              </w:rPr>
              <w:t>0</w:t>
            </w:r>
          </w:p>
        </w:tc>
      </w:tr>
    </w:tbl>
    <w:p w:rsidR="00FE1E1A" w:rsidRDefault="00FE1E1A" w:rsidP="009E13DB">
      <w:pPr>
        <w:spacing w:line="240" w:lineRule="auto"/>
        <w:rPr>
          <w:rFonts w:cs="Arial"/>
          <w:u w:val="single"/>
        </w:rPr>
      </w:pPr>
    </w:p>
    <w:p w:rsidR="004B10B9" w:rsidRDefault="004B10B9">
      <w:pPr>
        <w:rPr>
          <w:rFonts w:cs="Arial"/>
          <w:u w:val="single"/>
        </w:rPr>
      </w:pPr>
      <w:r>
        <w:rPr>
          <w:rFonts w:cs="Arial"/>
          <w:u w:val="single"/>
        </w:rPr>
        <w:br w:type="page"/>
      </w:r>
    </w:p>
    <w:p w:rsidR="009E13DB" w:rsidRDefault="009E13DB" w:rsidP="009E13DB">
      <w:pPr>
        <w:spacing w:line="240" w:lineRule="auto"/>
        <w:rPr>
          <w:rFonts w:cs="Arial"/>
          <w:u w:val="single"/>
        </w:rPr>
      </w:pPr>
      <w:r w:rsidRPr="00FE3A36">
        <w:rPr>
          <w:rFonts w:cs="Arial"/>
          <w:u w:val="single"/>
        </w:rPr>
        <w:lastRenderedPageBreak/>
        <w:t>Dopad na rozpočet</w:t>
      </w:r>
      <w:r>
        <w:rPr>
          <w:rFonts w:cs="Arial"/>
          <w:u w:val="single"/>
        </w:rPr>
        <w:t>:</w:t>
      </w:r>
    </w:p>
    <w:p w:rsidR="006D67EB" w:rsidRDefault="009E13DB" w:rsidP="009E13DB">
      <w:pPr>
        <w:tabs>
          <w:tab w:val="left" w:pos="0"/>
        </w:tabs>
        <w:spacing w:line="240" w:lineRule="auto"/>
        <w:jc w:val="both"/>
        <w:rPr>
          <w:rFonts w:cs="Arial"/>
        </w:rPr>
      </w:pPr>
      <w:r>
        <w:rPr>
          <w:rFonts w:cs="Arial"/>
        </w:rPr>
        <w:t>Při dopadu na rozpočet analyzujeme jak negativní, tak pozitivní dopady na rozpočet spojené s výstavbou a provozem elektrárny podle typu varianty financování a garance návratnosti:</w:t>
      </w:r>
    </w:p>
    <w:p w:rsidR="00AA7720" w:rsidRDefault="00AA7720" w:rsidP="00AA7720">
      <w:pPr>
        <w:pStyle w:val="Titulek"/>
        <w:keepNext/>
      </w:pPr>
      <w:bookmarkStart w:id="241" w:name="_Toc420058327"/>
      <w:r w:rsidRPr="00AA7720">
        <w:rPr>
          <w:color w:val="auto"/>
          <w:sz w:val="22"/>
        </w:rPr>
        <w:t xml:space="preserve">Tabulka č. </w:t>
      </w:r>
      <w:r w:rsidRPr="00AA7720">
        <w:rPr>
          <w:color w:val="auto"/>
          <w:sz w:val="22"/>
        </w:rPr>
        <w:fldChar w:fldCharType="begin"/>
      </w:r>
      <w:r w:rsidRPr="00AA7720">
        <w:rPr>
          <w:color w:val="auto"/>
          <w:sz w:val="22"/>
        </w:rPr>
        <w:instrText xml:space="preserve"> SEQ Tabulka_č. \* ARABIC </w:instrText>
      </w:r>
      <w:r w:rsidRPr="00AA7720">
        <w:rPr>
          <w:color w:val="auto"/>
          <w:sz w:val="22"/>
        </w:rPr>
        <w:fldChar w:fldCharType="separate"/>
      </w:r>
      <w:r w:rsidR="00FE1E1A">
        <w:rPr>
          <w:noProof/>
          <w:color w:val="auto"/>
          <w:sz w:val="22"/>
        </w:rPr>
        <w:t>23</w:t>
      </w:r>
      <w:r w:rsidRPr="00AA7720">
        <w:rPr>
          <w:color w:val="auto"/>
          <w:sz w:val="22"/>
        </w:rPr>
        <w:fldChar w:fldCharType="end"/>
      </w:r>
      <w:r w:rsidRPr="00AA7720">
        <w:rPr>
          <w:color w:val="auto"/>
          <w:sz w:val="22"/>
        </w:rPr>
        <w:t xml:space="preserve">: </w:t>
      </w:r>
      <w:r w:rsidRPr="00AA7720">
        <w:rPr>
          <w:rFonts w:cs="Arial"/>
          <w:b w:val="0"/>
          <w:i/>
          <w:color w:val="auto"/>
          <w:sz w:val="22"/>
        </w:rPr>
        <w:t>Roční dopad na rozpočet</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65"/>
        <w:gridCol w:w="1859"/>
        <w:gridCol w:w="1859"/>
        <w:gridCol w:w="1832"/>
      </w:tblGrid>
      <w:tr w:rsidR="009E13DB" w:rsidRPr="0093170C" w:rsidTr="006D67EB">
        <w:tc>
          <w:tcPr>
            <w:tcW w:w="1008" w:type="pct"/>
            <w:vMerge w:val="restart"/>
            <w:tcBorders>
              <w:top w:val="single" w:sz="12" w:space="0" w:color="auto"/>
              <w:left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r w:rsidRPr="0093170C">
              <w:rPr>
                <w:rFonts w:cs="Arial"/>
              </w:rPr>
              <w:t>Typ dopadu na rozpočet</w:t>
            </w:r>
          </w:p>
        </w:tc>
        <w:tc>
          <w:tcPr>
            <w:tcW w:w="3992" w:type="pct"/>
            <w:gridSpan w:val="4"/>
            <w:tcBorders>
              <w:top w:val="single" w:sz="12" w:space="0" w:color="auto"/>
              <w:right w:val="single" w:sz="12" w:space="0" w:color="auto"/>
            </w:tcBorders>
            <w:shd w:val="clear" w:color="auto" w:fill="B8CCE4" w:themeFill="accent1" w:themeFillTint="66"/>
            <w:vAlign w:val="center"/>
          </w:tcPr>
          <w:p w:rsidR="009E13DB" w:rsidRPr="0093170C" w:rsidRDefault="009E13DB" w:rsidP="00E64D47">
            <w:pPr>
              <w:spacing w:after="0" w:line="240" w:lineRule="auto"/>
              <w:jc w:val="center"/>
              <w:rPr>
                <w:rFonts w:cs="Arial"/>
              </w:rPr>
            </w:pPr>
            <w:r w:rsidRPr="0093170C">
              <w:rPr>
                <w:rFonts w:cs="Arial"/>
              </w:rPr>
              <w:t xml:space="preserve">Roční dopad na rozpočet </w:t>
            </w:r>
            <w:r w:rsidR="00E64D47">
              <w:rPr>
                <w:rFonts w:cs="Arial"/>
              </w:rPr>
              <w:t>[mld. Kč/rok]</w:t>
            </w:r>
            <w:r w:rsidRPr="0093170C">
              <w:rPr>
                <w:rFonts w:cs="Arial"/>
              </w:rPr>
              <w:t xml:space="preserve"> a </w:t>
            </w:r>
            <w:r w:rsidRPr="0093170C">
              <w:rPr>
                <w:rFonts w:cs="Arial"/>
                <w:lang w:val="en-US"/>
              </w:rPr>
              <w:t>[</w:t>
            </w:r>
            <w:r w:rsidRPr="0093170C">
              <w:rPr>
                <w:rFonts w:cs="Arial"/>
              </w:rPr>
              <w:t>celkový výdaj za celé období]:</w:t>
            </w:r>
          </w:p>
        </w:tc>
      </w:tr>
      <w:tr w:rsidR="009E13DB" w:rsidRPr="0093170C" w:rsidTr="003F62D8">
        <w:tc>
          <w:tcPr>
            <w:tcW w:w="1008" w:type="pct"/>
            <w:vMerge/>
            <w:tcBorders>
              <w:left w:val="single" w:sz="12" w:space="0" w:color="auto"/>
              <w:bottom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p>
        </w:tc>
        <w:tc>
          <w:tcPr>
            <w:tcW w:w="1004" w:type="pct"/>
            <w:tcBorders>
              <w:bottom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r w:rsidRPr="0093170C">
              <w:rPr>
                <w:rFonts w:cs="Arial"/>
              </w:rPr>
              <w:t>1.</w:t>
            </w:r>
            <w:r w:rsidR="005831ED">
              <w:rPr>
                <w:rFonts w:cs="Arial"/>
              </w:rPr>
              <w:t xml:space="preserve"> </w:t>
            </w:r>
            <w:r w:rsidRPr="0093170C">
              <w:rPr>
                <w:rFonts w:cs="Arial"/>
              </w:rPr>
              <w:t xml:space="preserve">Soukromý investor, </w:t>
            </w:r>
            <w:proofErr w:type="spellStart"/>
            <w:r w:rsidRPr="0093170C">
              <w:rPr>
                <w:rFonts w:cs="Arial"/>
              </w:rPr>
              <w:t>CfD</w:t>
            </w:r>
            <w:proofErr w:type="spellEnd"/>
          </w:p>
          <w:p w:rsidR="009E13DB" w:rsidRPr="0093170C" w:rsidRDefault="009E13DB" w:rsidP="006D67EB">
            <w:pPr>
              <w:spacing w:after="0" w:line="240" w:lineRule="auto"/>
              <w:jc w:val="center"/>
              <w:rPr>
                <w:rFonts w:cs="Arial"/>
                <w:lang w:val="en-US"/>
              </w:rPr>
            </w:pPr>
            <w:r w:rsidRPr="0093170C">
              <w:rPr>
                <w:rFonts w:cs="Arial"/>
                <w:lang w:val="en-US"/>
              </w:rPr>
              <w:t>66-86 EUR/</w:t>
            </w:r>
            <w:proofErr w:type="spellStart"/>
            <w:r w:rsidRPr="0093170C">
              <w:rPr>
                <w:rFonts w:cs="Arial"/>
                <w:lang w:val="en-US"/>
              </w:rPr>
              <w:t>MWh</w:t>
            </w:r>
            <w:proofErr w:type="spellEnd"/>
          </w:p>
        </w:tc>
        <w:tc>
          <w:tcPr>
            <w:tcW w:w="1001" w:type="pct"/>
            <w:tcBorders>
              <w:bottom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r w:rsidRPr="0093170C">
              <w:rPr>
                <w:rFonts w:cs="Arial"/>
              </w:rPr>
              <w:t xml:space="preserve">2. Stát, </w:t>
            </w:r>
            <w:proofErr w:type="spellStart"/>
            <w:r w:rsidRPr="0093170C">
              <w:rPr>
                <w:rFonts w:cs="Arial"/>
              </w:rPr>
              <w:t>CfD</w:t>
            </w:r>
            <w:proofErr w:type="spellEnd"/>
            <w:r w:rsidRPr="0093170C">
              <w:rPr>
                <w:rFonts w:cs="Arial"/>
              </w:rPr>
              <w:br/>
            </w:r>
            <w:r w:rsidRPr="0093170C">
              <w:rPr>
                <w:rFonts w:cs="Arial"/>
              </w:rPr>
              <w:br/>
              <w:t>52-</w:t>
            </w:r>
            <w:r w:rsidRPr="0093170C">
              <w:rPr>
                <w:rFonts w:cs="Arial"/>
                <w:lang w:val="en-US"/>
              </w:rPr>
              <w:t>66 EUR/</w:t>
            </w:r>
            <w:proofErr w:type="spellStart"/>
            <w:r w:rsidRPr="0093170C">
              <w:rPr>
                <w:rFonts w:cs="Arial"/>
                <w:lang w:val="en-US"/>
              </w:rPr>
              <w:t>MWh</w:t>
            </w:r>
            <w:proofErr w:type="spellEnd"/>
          </w:p>
        </w:tc>
        <w:tc>
          <w:tcPr>
            <w:tcW w:w="1001" w:type="pct"/>
            <w:tcBorders>
              <w:bottom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r w:rsidRPr="0093170C">
              <w:rPr>
                <w:rFonts w:cs="Arial"/>
              </w:rPr>
              <w:t xml:space="preserve">3. Investor, </w:t>
            </w:r>
            <w:proofErr w:type="spellStart"/>
            <w:r w:rsidRPr="0093170C">
              <w:rPr>
                <w:rFonts w:cs="Arial"/>
              </w:rPr>
              <w:t>CfD</w:t>
            </w:r>
            <w:proofErr w:type="spellEnd"/>
            <w:r w:rsidRPr="0093170C">
              <w:rPr>
                <w:rFonts w:cs="Arial"/>
              </w:rPr>
              <w:t xml:space="preserve"> se státem</w:t>
            </w:r>
            <w:r w:rsidRPr="0093170C">
              <w:rPr>
                <w:rFonts w:cs="Arial"/>
              </w:rPr>
              <w:br/>
              <w:t>66-86 EUR/</w:t>
            </w:r>
            <w:proofErr w:type="spellStart"/>
            <w:r w:rsidRPr="0093170C">
              <w:rPr>
                <w:rFonts w:cs="Arial"/>
              </w:rPr>
              <w:t>MWh</w:t>
            </w:r>
            <w:proofErr w:type="spellEnd"/>
          </w:p>
        </w:tc>
        <w:tc>
          <w:tcPr>
            <w:tcW w:w="987" w:type="pct"/>
            <w:tcBorders>
              <w:bottom w:val="single" w:sz="12" w:space="0" w:color="auto"/>
              <w:right w:val="single" w:sz="12" w:space="0" w:color="auto"/>
            </w:tcBorders>
            <w:shd w:val="clear" w:color="auto" w:fill="B8CCE4" w:themeFill="accent1" w:themeFillTint="66"/>
            <w:vAlign w:val="center"/>
          </w:tcPr>
          <w:p w:rsidR="009E13DB" w:rsidRPr="0093170C" w:rsidRDefault="009E13DB" w:rsidP="006D67EB">
            <w:pPr>
              <w:spacing w:after="0" w:line="240" w:lineRule="auto"/>
              <w:jc w:val="center"/>
              <w:rPr>
                <w:rFonts w:cs="Arial"/>
              </w:rPr>
            </w:pPr>
            <w:r w:rsidRPr="0093170C">
              <w:rPr>
                <w:rFonts w:cs="Arial"/>
              </w:rPr>
              <w:t xml:space="preserve">4. Stát bez </w:t>
            </w:r>
            <w:proofErr w:type="spellStart"/>
            <w:r w:rsidRPr="0093170C">
              <w:rPr>
                <w:rFonts w:cs="Arial"/>
              </w:rPr>
              <w:t>CfD</w:t>
            </w:r>
            <w:proofErr w:type="spellEnd"/>
          </w:p>
        </w:tc>
      </w:tr>
      <w:tr w:rsidR="009E13DB" w:rsidRPr="0093170C" w:rsidTr="003F62D8">
        <w:tc>
          <w:tcPr>
            <w:tcW w:w="1008" w:type="pct"/>
            <w:tcBorders>
              <w:top w:val="single" w:sz="12" w:space="0" w:color="auto"/>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Výdaj na přípravu výstavby (do podpisu EPC smlouvy)</w:t>
            </w:r>
          </w:p>
        </w:tc>
        <w:tc>
          <w:tcPr>
            <w:tcW w:w="1004" w:type="pct"/>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1001" w:type="pct"/>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-x0,1 [-3]</w:t>
            </w:r>
          </w:p>
        </w:tc>
        <w:tc>
          <w:tcPr>
            <w:tcW w:w="1001" w:type="pct"/>
            <w:tcBorders>
              <w:top w:val="single" w:sz="12" w:space="0" w:color="auto"/>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987" w:type="pct"/>
            <w:tcBorders>
              <w:top w:val="single" w:sz="12" w:space="0" w:color="auto"/>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-x0,1 [-3]</w:t>
            </w:r>
          </w:p>
        </w:tc>
      </w:tr>
      <w:tr w:rsidR="009E13DB" w:rsidRPr="0093170C" w:rsidTr="004B10B9">
        <w:tc>
          <w:tcPr>
            <w:tcW w:w="1008" w:type="pct"/>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Výdaj na výstavbu (do rozhodnutí o výstavbě)</w:t>
            </w:r>
          </w:p>
        </w:tc>
        <w:tc>
          <w:tcPr>
            <w:tcW w:w="100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-x1 [-20]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987" w:type="pct"/>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-x1 [-20]</w:t>
            </w:r>
          </w:p>
        </w:tc>
      </w:tr>
      <w:tr w:rsidR="009E13DB" w:rsidRPr="0093170C" w:rsidTr="004B10B9">
        <w:tc>
          <w:tcPr>
            <w:tcW w:w="1008" w:type="pct"/>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Výdaj na výstavbu (po rozhodnutí)</w:t>
            </w:r>
          </w:p>
        </w:tc>
        <w:tc>
          <w:tcPr>
            <w:tcW w:w="100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-25 [-120]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987" w:type="pct"/>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-25 [-120]</w:t>
            </w:r>
          </w:p>
        </w:tc>
      </w:tr>
      <w:tr w:rsidR="009E13DB" w:rsidRPr="0093170C" w:rsidTr="004B10B9">
        <w:tc>
          <w:tcPr>
            <w:tcW w:w="1008" w:type="pct"/>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Příjem/Výdaj z provozu JE</w:t>
            </w:r>
          </w:p>
        </w:tc>
        <w:tc>
          <w:tcPr>
            <w:tcW w:w="100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6 až 11</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601919">
              <w:rPr>
                <w:rFonts w:cs="Arial"/>
              </w:rPr>
              <w:t>9 až -13</w:t>
            </w:r>
          </w:p>
        </w:tc>
        <w:tc>
          <w:tcPr>
            <w:tcW w:w="987" w:type="pct"/>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3 až 19</w:t>
            </w:r>
          </w:p>
        </w:tc>
      </w:tr>
      <w:tr w:rsidR="009E13DB" w:rsidRPr="0093170C" w:rsidTr="004B10B9">
        <w:tc>
          <w:tcPr>
            <w:tcW w:w="1008" w:type="pct"/>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 xml:space="preserve">Příjem z platby za případnou garanci dluhu </w:t>
            </w:r>
          </w:p>
        </w:tc>
        <w:tc>
          <w:tcPr>
            <w:tcW w:w="100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lang w:val="en-US"/>
              </w:rPr>
              <w:t>[</w:t>
            </w:r>
            <w:r w:rsidRPr="0093170C">
              <w:rPr>
                <w:rFonts w:cs="Arial"/>
              </w:rPr>
              <w:t>0,7]</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[0,7]</w:t>
            </w:r>
          </w:p>
        </w:tc>
        <w:tc>
          <w:tcPr>
            <w:tcW w:w="987" w:type="pct"/>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w:t>
            </w:r>
          </w:p>
        </w:tc>
      </w:tr>
      <w:tr w:rsidR="009E13DB" w:rsidRPr="0093170C" w:rsidTr="004B10B9">
        <w:tc>
          <w:tcPr>
            <w:tcW w:w="1008" w:type="pct"/>
            <w:tcBorders>
              <w:top w:val="dotted" w:sz="4" w:space="0" w:color="808080" w:themeColor="background1" w:themeShade="80"/>
              <w:left w:val="single" w:sz="12" w:space="0" w:color="auto"/>
              <w:bottom w:val="dotted" w:sz="4" w:space="0" w:color="808080" w:themeColor="background1" w:themeShade="80"/>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Příjem z daní během provozu</w:t>
            </w:r>
          </w:p>
        </w:tc>
        <w:tc>
          <w:tcPr>
            <w:tcW w:w="100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2 až 3</w:t>
            </w:r>
            <w:r w:rsidRPr="0093170C">
              <w:rPr>
                <w:rFonts w:cs="Arial"/>
              </w:rPr>
              <w:br/>
            </w:r>
            <w:r w:rsidRPr="0093170C">
              <w:rPr>
                <w:rFonts w:cs="Arial"/>
                <w:lang w:val="en-US"/>
              </w:rPr>
              <w:t>[127 a</w:t>
            </w:r>
            <w:r w:rsidRPr="0093170C">
              <w:rPr>
                <w:rFonts w:cs="Arial"/>
              </w:rPr>
              <w:t>ž 187</w:t>
            </w:r>
            <w:r w:rsidRPr="0093170C">
              <w:rPr>
                <w:rFonts w:cs="Arial"/>
                <w:lang w:val="en-US"/>
              </w:rPr>
              <w:t>]</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1,4 až 2</w:t>
            </w:r>
            <w:r w:rsidRPr="0093170C">
              <w:rPr>
                <w:rFonts w:cs="Arial"/>
              </w:rPr>
              <w:br/>
            </w:r>
            <w:r w:rsidRPr="0093170C">
              <w:rPr>
                <w:rFonts w:cs="Arial"/>
                <w:lang w:val="en-US"/>
              </w:rPr>
              <w:t xml:space="preserve">[86 </w:t>
            </w:r>
            <w:r w:rsidRPr="0093170C">
              <w:rPr>
                <w:rFonts w:cs="Arial"/>
              </w:rPr>
              <w:t>až 127</w:t>
            </w:r>
            <w:r w:rsidRPr="0093170C">
              <w:rPr>
                <w:rFonts w:cs="Arial"/>
                <w:lang w:val="en-US"/>
              </w:rPr>
              <w:t>]</w:t>
            </w:r>
          </w:p>
        </w:tc>
        <w:tc>
          <w:tcPr>
            <w:tcW w:w="1001"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2 až 3</w:t>
            </w:r>
            <w:r w:rsidRPr="0093170C">
              <w:rPr>
                <w:rFonts w:cs="Arial"/>
              </w:rPr>
              <w:br/>
            </w:r>
            <w:r w:rsidRPr="0093170C">
              <w:rPr>
                <w:rFonts w:cs="Arial"/>
                <w:lang w:val="en-US"/>
              </w:rPr>
              <w:t>[127 a</w:t>
            </w:r>
            <w:r w:rsidRPr="0093170C">
              <w:rPr>
                <w:rFonts w:cs="Arial"/>
              </w:rPr>
              <w:t>ž 187</w:t>
            </w:r>
            <w:r w:rsidRPr="0093170C">
              <w:rPr>
                <w:rFonts w:cs="Arial"/>
                <w:lang w:val="en-US"/>
              </w:rPr>
              <w:t>]</w:t>
            </w:r>
          </w:p>
        </w:tc>
        <w:tc>
          <w:tcPr>
            <w:tcW w:w="987" w:type="pct"/>
            <w:tcBorders>
              <w:top w:val="dotted" w:sz="4" w:space="0" w:color="808080" w:themeColor="background1" w:themeShade="80"/>
              <w:left w:val="single" w:sz="4" w:space="0" w:color="auto"/>
              <w:bottom w:val="dotted" w:sz="4" w:space="0" w:color="808080" w:themeColor="background1" w:themeShade="80"/>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0,5 až 3,5</w:t>
            </w:r>
            <w:r w:rsidRPr="0093170C">
              <w:rPr>
                <w:rFonts w:cs="Arial"/>
              </w:rPr>
              <w:br/>
            </w:r>
            <w:r w:rsidRPr="0093170C">
              <w:rPr>
                <w:rFonts w:cs="Arial"/>
                <w:lang w:val="en-US"/>
              </w:rPr>
              <w:t>[35 a</w:t>
            </w:r>
            <w:r w:rsidRPr="0093170C">
              <w:rPr>
                <w:rFonts w:cs="Arial"/>
              </w:rPr>
              <w:t>ž 225</w:t>
            </w:r>
            <w:r w:rsidRPr="0093170C">
              <w:rPr>
                <w:rFonts w:cs="Arial"/>
                <w:lang w:val="en-US"/>
              </w:rPr>
              <w:t>]</w:t>
            </w:r>
          </w:p>
        </w:tc>
      </w:tr>
      <w:tr w:rsidR="009E13DB" w:rsidRPr="0093170C" w:rsidTr="004B10B9">
        <w:tc>
          <w:tcPr>
            <w:tcW w:w="1008" w:type="pct"/>
            <w:tcBorders>
              <w:top w:val="dotted" w:sz="4" w:space="0" w:color="808080" w:themeColor="background1" w:themeShade="80"/>
              <w:left w:val="single" w:sz="12" w:space="0" w:color="auto"/>
              <w:bottom w:val="thinThickSmallGap" w:sz="24" w:space="0" w:color="auto"/>
              <w:right w:val="single" w:sz="4" w:space="0" w:color="auto"/>
            </w:tcBorders>
            <w:shd w:val="clear" w:color="auto" w:fill="auto"/>
          </w:tcPr>
          <w:p w:rsidR="009E13DB" w:rsidRPr="0093170C" w:rsidRDefault="009E13DB" w:rsidP="006D67EB">
            <w:pPr>
              <w:spacing w:after="0" w:line="240" w:lineRule="auto"/>
              <w:jc w:val="center"/>
              <w:rPr>
                <w:rFonts w:cs="Arial"/>
              </w:rPr>
            </w:pPr>
            <w:r w:rsidRPr="0093170C">
              <w:rPr>
                <w:rFonts w:cs="Arial"/>
              </w:rPr>
              <w:t>Příjem z daní během výstavby</w:t>
            </w:r>
          </w:p>
        </w:tc>
        <w:tc>
          <w:tcPr>
            <w:tcW w:w="1004" w:type="pct"/>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 xml:space="preserve">1 </w:t>
            </w:r>
            <w:r w:rsidRPr="0093170C">
              <w:rPr>
                <w:rFonts w:cs="Arial"/>
                <w:lang w:val="en-US"/>
              </w:rPr>
              <w:t>[</w:t>
            </w:r>
            <w:r w:rsidRPr="0093170C">
              <w:rPr>
                <w:rFonts w:cs="Arial"/>
              </w:rPr>
              <w:t>10]</w:t>
            </w:r>
          </w:p>
        </w:tc>
        <w:tc>
          <w:tcPr>
            <w:tcW w:w="1001" w:type="pct"/>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 xml:space="preserve">1 </w:t>
            </w:r>
            <w:r w:rsidRPr="0093170C">
              <w:rPr>
                <w:rFonts w:cs="Arial"/>
                <w:lang w:val="en-US"/>
              </w:rPr>
              <w:t>[</w:t>
            </w:r>
            <w:r w:rsidRPr="0093170C">
              <w:rPr>
                <w:rFonts w:cs="Arial"/>
              </w:rPr>
              <w:t>10]</w:t>
            </w:r>
          </w:p>
        </w:tc>
        <w:tc>
          <w:tcPr>
            <w:tcW w:w="1001" w:type="pct"/>
            <w:tcBorders>
              <w:top w:val="dotted" w:sz="4" w:space="0" w:color="808080" w:themeColor="background1" w:themeShade="80"/>
              <w:left w:val="single" w:sz="4" w:space="0" w:color="auto"/>
              <w:bottom w:val="thinThickSmallGap" w:sz="24" w:space="0" w:color="auto"/>
              <w:right w:val="single" w:sz="4"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 xml:space="preserve">1 </w:t>
            </w:r>
            <w:r w:rsidRPr="0093170C">
              <w:rPr>
                <w:rFonts w:cs="Arial"/>
                <w:lang w:val="en-US"/>
              </w:rPr>
              <w:t>[</w:t>
            </w:r>
            <w:r w:rsidRPr="0093170C">
              <w:rPr>
                <w:rFonts w:cs="Arial"/>
              </w:rPr>
              <w:t>10]</w:t>
            </w:r>
          </w:p>
        </w:tc>
        <w:tc>
          <w:tcPr>
            <w:tcW w:w="987" w:type="pct"/>
            <w:tcBorders>
              <w:top w:val="dotted" w:sz="4" w:space="0" w:color="808080" w:themeColor="background1" w:themeShade="80"/>
              <w:left w:val="single" w:sz="4" w:space="0" w:color="auto"/>
              <w:bottom w:val="thinThickSmallGap" w:sz="24" w:space="0" w:color="auto"/>
              <w:right w:val="single" w:sz="12" w:space="0" w:color="auto"/>
            </w:tcBorders>
            <w:shd w:val="clear" w:color="auto" w:fill="auto"/>
            <w:vAlign w:val="center"/>
          </w:tcPr>
          <w:p w:rsidR="009E13DB" w:rsidRPr="0093170C" w:rsidRDefault="009E13DB" w:rsidP="006D67EB">
            <w:pPr>
              <w:spacing w:after="0" w:line="240" w:lineRule="auto"/>
              <w:jc w:val="center"/>
              <w:rPr>
                <w:rFonts w:cs="Arial"/>
              </w:rPr>
            </w:pPr>
            <w:r w:rsidRPr="0093170C">
              <w:rPr>
                <w:rFonts w:cs="Arial"/>
              </w:rPr>
              <w:t xml:space="preserve">1 </w:t>
            </w:r>
            <w:r w:rsidRPr="0093170C">
              <w:rPr>
                <w:rFonts w:cs="Arial"/>
                <w:lang w:val="en-US"/>
              </w:rPr>
              <w:t>[</w:t>
            </w:r>
            <w:r w:rsidRPr="0093170C">
              <w:rPr>
                <w:rFonts w:cs="Arial"/>
              </w:rPr>
              <w:t>10]</w:t>
            </w:r>
          </w:p>
        </w:tc>
      </w:tr>
    </w:tbl>
    <w:p w:rsidR="009E13DB" w:rsidRPr="00AA7720" w:rsidRDefault="009E13DB" w:rsidP="002172FD">
      <w:pPr>
        <w:spacing w:after="0" w:line="240" w:lineRule="auto"/>
        <w:rPr>
          <w:rFonts w:cs="Arial"/>
          <w:i/>
        </w:rPr>
      </w:pPr>
      <w:r w:rsidRPr="00AA7720">
        <w:rPr>
          <w:rFonts w:cs="Arial"/>
          <w:i/>
        </w:rPr>
        <w:t xml:space="preserve">Pozn.: </w:t>
      </w:r>
    </w:p>
    <w:p w:rsidR="002B255C" w:rsidRPr="002172FD" w:rsidRDefault="002B255C" w:rsidP="002B255C">
      <w:pPr>
        <w:pStyle w:val="Odstavecseseznamem"/>
        <w:numPr>
          <w:ilvl w:val="0"/>
          <w:numId w:val="20"/>
        </w:numPr>
        <w:ind w:left="357"/>
        <w:jc w:val="both"/>
        <w:rPr>
          <w:rFonts w:ascii="Calibri" w:hAnsi="Calibri" w:cs="Calibri"/>
          <w:i/>
        </w:rPr>
      </w:pPr>
      <w:bookmarkStart w:id="242" w:name="_Toc407035619"/>
      <w:r w:rsidRPr="002172FD">
        <w:rPr>
          <w:i/>
        </w:rPr>
        <w:t xml:space="preserve">Negativní znaménko značí výdej, pozitivní příjem do státního rozpočtu. </w:t>
      </w:r>
    </w:p>
    <w:p w:rsidR="002B255C" w:rsidRPr="002172FD" w:rsidRDefault="002B255C" w:rsidP="002B255C">
      <w:pPr>
        <w:pStyle w:val="Odstavecseseznamem"/>
        <w:numPr>
          <w:ilvl w:val="0"/>
          <w:numId w:val="20"/>
        </w:numPr>
        <w:ind w:left="357"/>
        <w:jc w:val="both"/>
        <w:rPr>
          <w:rFonts w:ascii="Times New Roman" w:eastAsia="Times New Roman" w:hAnsi="Times New Roman" w:cs="Times New Roman"/>
          <w:i/>
          <w:sz w:val="20"/>
          <w:szCs w:val="20"/>
        </w:rPr>
      </w:pPr>
      <w:r w:rsidRPr="002172FD">
        <w:rPr>
          <w:i/>
        </w:rPr>
        <w:t>Jelikož výdaje na výstavbu se v čase mění, x značí řádově několik jednotek. Časové rozložení výdajů viz kapitola 6.3.1. Obecné modelové předpoklady pro analýzu.</w:t>
      </w:r>
    </w:p>
    <w:p w:rsidR="002B255C" w:rsidRPr="002172FD" w:rsidRDefault="002B255C" w:rsidP="002B255C">
      <w:pPr>
        <w:pStyle w:val="Odstavecseseznamem"/>
        <w:numPr>
          <w:ilvl w:val="0"/>
          <w:numId w:val="20"/>
        </w:numPr>
        <w:ind w:left="357"/>
        <w:jc w:val="both"/>
        <w:rPr>
          <w:i/>
        </w:rPr>
      </w:pPr>
      <w:r w:rsidRPr="002172FD">
        <w:rPr>
          <w:i/>
        </w:rPr>
        <w:t>Výdaje na výstavbu jsou uvedeny bez nákladů na financování.</w:t>
      </w:r>
    </w:p>
    <w:p w:rsidR="002B255C" w:rsidRPr="002172FD" w:rsidRDefault="002B255C" w:rsidP="002B255C">
      <w:pPr>
        <w:pStyle w:val="Odstavecseseznamem"/>
        <w:numPr>
          <w:ilvl w:val="0"/>
          <w:numId w:val="20"/>
        </w:numPr>
        <w:ind w:left="357"/>
        <w:jc w:val="both"/>
        <w:rPr>
          <w:i/>
        </w:rPr>
      </w:pPr>
      <w:r w:rsidRPr="002172FD">
        <w:rPr>
          <w:i/>
        </w:rPr>
        <w:t>Všechny hodnoty jsou v cenách roku 2015.</w:t>
      </w:r>
    </w:p>
    <w:p w:rsidR="002B255C" w:rsidRPr="002172FD" w:rsidRDefault="002B255C" w:rsidP="002B255C">
      <w:pPr>
        <w:pStyle w:val="Odstavecseseznamem"/>
        <w:numPr>
          <w:ilvl w:val="0"/>
          <w:numId w:val="20"/>
        </w:numPr>
        <w:ind w:left="357"/>
        <w:jc w:val="both"/>
        <w:rPr>
          <w:i/>
        </w:rPr>
      </w:pPr>
      <w:r w:rsidRPr="002172FD">
        <w:rPr>
          <w:i/>
        </w:rPr>
        <w:t>V hranatých závorkách je uveden kumulovaný očekávaný dopad za dané období</w:t>
      </w:r>
    </w:p>
    <w:p w:rsidR="002B255C" w:rsidRPr="002172FD" w:rsidRDefault="002B255C" w:rsidP="002B255C">
      <w:pPr>
        <w:pStyle w:val="Odstavecseseznamem"/>
        <w:numPr>
          <w:ilvl w:val="0"/>
          <w:numId w:val="20"/>
        </w:numPr>
        <w:ind w:left="357"/>
        <w:jc w:val="both"/>
        <w:rPr>
          <w:i/>
        </w:rPr>
      </w:pPr>
      <w:r w:rsidRPr="002172FD">
        <w:rPr>
          <w:i/>
        </w:rPr>
        <w:t>Příjem z daní zahrnuje daň z příjmů fyzických osob, tj. zaměstnanců JE a dodavatelů (15 %) a daň z příjmů právnických osob, tj. provozovatele JE a dodavatelů technologie (19 %). Daň z příjmů je stanovena dle sazeb uvedených v § 16 a § 21 zákona č. 586/1992 Sb., o daních z příjmů. Nezahrnuje DPH a další související daně.</w:t>
      </w:r>
    </w:p>
    <w:p w:rsidR="002B255C" w:rsidRPr="002172FD" w:rsidRDefault="002B255C" w:rsidP="002B255C">
      <w:pPr>
        <w:pStyle w:val="Odstavecseseznamem"/>
        <w:numPr>
          <w:ilvl w:val="0"/>
          <w:numId w:val="20"/>
        </w:numPr>
        <w:ind w:left="357"/>
        <w:jc w:val="both"/>
        <w:rPr>
          <w:i/>
        </w:rPr>
      </w:pPr>
      <w:r w:rsidRPr="002172FD">
        <w:rPr>
          <w:i/>
        </w:rPr>
        <w:t xml:space="preserve">U varianty „stát bez </w:t>
      </w:r>
      <w:proofErr w:type="spellStart"/>
      <w:r w:rsidRPr="002172FD">
        <w:rPr>
          <w:i/>
        </w:rPr>
        <w:t>CfD</w:t>
      </w:r>
      <w:proofErr w:type="spellEnd"/>
      <w:r w:rsidRPr="002172FD">
        <w:rPr>
          <w:i/>
        </w:rPr>
        <w:t>“ pro stanovení daní z příjmů uvádíme výpočet pro krajní hodnoty předpokládaných cen elektřiny tj. 35 a 99 EUR/</w:t>
      </w:r>
      <w:proofErr w:type="spellStart"/>
      <w:r w:rsidRPr="002172FD">
        <w:rPr>
          <w:i/>
        </w:rPr>
        <w:t>MWh</w:t>
      </w:r>
      <w:proofErr w:type="spellEnd"/>
      <w:r w:rsidRPr="002172FD">
        <w:rPr>
          <w:i/>
        </w:rPr>
        <w:t>.</w:t>
      </w:r>
    </w:p>
    <w:p w:rsidR="002B255C" w:rsidRPr="002172FD" w:rsidRDefault="002B255C" w:rsidP="002B255C">
      <w:pPr>
        <w:pStyle w:val="Odstavecseseznamem"/>
        <w:numPr>
          <w:ilvl w:val="0"/>
          <w:numId w:val="20"/>
        </w:numPr>
        <w:spacing w:line="240" w:lineRule="auto"/>
        <w:ind w:left="357"/>
        <w:jc w:val="both"/>
        <w:rPr>
          <w:i/>
        </w:rPr>
      </w:pPr>
      <w:r w:rsidRPr="002172FD">
        <w:rPr>
          <w:i/>
        </w:rPr>
        <w:t>Předpoklad je výstavba jednoho nového bloku v hodnotě 143 mld. Kč.</w:t>
      </w:r>
    </w:p>
    <w:p w:rsidR="002B255C" w:rsidRPr="002172FD" w:rsidRDefault="002B255C" w:rsidP="002B255C">
      <w:pPr>
        <w:pStyle w:val="Odstavecseseznamem"/>
        <w:numPr>
          <w:ilvl w:val="0"/>
          <w:numId w:val="20"/>
        </w:numPr>
        <w:spacing w:line="240" w:lineRule="auto"/>
        <w:ind w:left="357" w:hanging="357"/>
        <w:jc w:val="both"/>
        <w:rPr>
          <w:rFonts w:cs="Arial"/>
          <w:i/>
        </w:rPr>
      </w:pPr>
      <w:r w:rsidRPr="002172FD">
        <w:rPr>
          <w:i/>
        </w:rPr>
        <w:t xml:space="preserve">V případě soukromého investora se počítá s cenou pro </w:t>
      </w:r>
      <w:proofErr w:type="spellStart"/>
      <w:r w:rsidRPr="002172FD">
        <w:rPr>
          <w:i/>
        </w:rPr>
        <w:t>CfD</w:t>
      </w:r>
      <w:proofErr w:type="spellEnd"/>
      <w:r w:rsidRPr="002172FD">
        <w:rPr>
          <w:i/>
        </w:rPr>
        <w:t xml:space="preserve"> v rozpětí 66-86 EUR/</w:t>
      </w:r>
      <w:proofErr w:type="spellStart"/>
      <w:r w:rsidRPr="002172FD">
        <w:rPr>
          <w:i/>
        </w:rPr>
        <w:t>MWh</w:t>
      </w:r>
      <w:proofErr w:type="spellEnd"/>
      <w:r w:rsidRPr="002172FD">
        <w:rPr>
          <w:i/>
        </w:rPr>
        <w:t xml:space="preserve">, zatímco u výstavby státem se počítá s cenou pro </w:t>
      </w:r>
      <w:proofErr w:type="spellStart"/>
      <w:r w:rsidRPr="002172FD">
        <w:rPr>
          <w:i/>
        </w:rPr>
        <w:t>CfD</w:t>
      </w:r>
      <w:proofErr w:type="spellEnd"/>
      <w:r w:rsidRPr="002172FD">
        <w:rPr>
          <w:i/>
        </w:rPr>
        <w:t xml:space="preserve"> v rozpětí 52-66 EUR/</w:t>
      </w:r>
      <w:proofErr w:type="spellStart"/>
      <w:r w:rsidRPr="002172FD">
        <w:rPr>
          <w:i/>
        </w:rPr>
        <w:t>MWh</w:t>
      </w:r>
      <w:proofErr w:type="spellEnd"/>
      <w:r w:rsidRPr="002172FD">
        <w:rPr>
          <w:i/>
        </w:rPr>
        <w:t xml:space="preserve"> (pravděpodobné nižší náklady investice v případě realizace investice státem mohou zajistit nižší úroveň finální ceny elektřiny pro </w:t>
      </w:r>
      <w:proofErr w:type="spellStart"/>
      <w:r w:rsidRPr="002172FD">
        <w:rPr>
          <w:i/>
        </w:rPr>
        <w:t>CfD</w:t>
      </w:r>
      <w:proofErr w:type="spellEnd"/>
      <w:r w:rsidRPr="002172FD">
        <w:rPr>
          <w:i/>
        </w:rPr>
        <w:t>).</w:t>
      </w:r>
    </w:p>
    <w:p w:rsidR="009E13DB" w:rsidRPr="00417D3A" w:rsidRDefault="009E13DB" w:rsidP="009E13DB">
      <w:pPr>
        <w:pStyle w:val="Nadpis3"/>
      </w:pPr>
      <w:bookmarkStart w:id="243" w:name="_Toc420056033"/>
      <w:r w:rsidRPr="00417D3A">
        <w:lastRenderedPageBreak/>
        <w:t>Zajištění návratnosti investice</w:t>
      </w:r>
      <w:r>
        <w:t xml:space="preserve"> ve variantě přímé výstavby ze strany státu</w:t>
      </w:r>
      <w:bookmarkEnd w:id="242"/>
      <w:r w:rsidR="0007006B">
        <w:t xml:space="preserve"> - </w:t>
      </w:r>
      <w:r w:rsidR="000C0CBD">
        <w:t xml:space="preserve"> modelový příklad</w:t>
      </w:r>
      <w:bookmarkEnd w:id="243"/>
    </w:p>
    <w:p w:rsidR="009E13DB" w:rsidRPr="006117AD" w:rsidRDefault="009E13DB" w:rsidP="009E13DB">
      <w:pPr>
        <w:rPr>
          <w:u w:val="single"/>
        </w:rPr>
      </w:pPr>
      <w:r w:rsidRPr="006117AD">
        <w:rPr>
          <w:u w:val="single"/>
        </w:rPr>
        <w:t>Načasování vstupu:</w:t>
      </w:r>
    </w:p>
    <w:p w:rsidR="009E13DB" w:rsidRDefault="009E13DB" w:rsidP="009E13DB">
      <w:pPr>
        <w:jc w:val="both"/>
      </w:pPr>
      <w:r w:rsidRPr="00FB25F1">
        <w:t xml:space="preserve">Při přímé výstavbě ze strany státu prostřednictvím nově založeného státního podniku je </w:t>
      </w:r>
      <w:r>
        <w:t>vhodné nejprve vytvořit SPV ze strany ČEZ, kter</w:t>
      </w:r>
      <w:r w:rsidR="002B2C89">
        <w:t>ý</w:t>
      </w:r>
      <w:r w:rsidRPr="00FB25F1">
        <w:t xml:space="preserve"> připraví projekty do požadovaného milníku</w:t>
      </w:r>
      <w:r>
        <w:t>. N</w:t>
      </w:r>
      <w:r w:rsidRPr="00FB25F1">
        <w:t xml:space="preserve">ásledně </w:t>
      </w:r>
      <w:r>
        <w:t xml:space="preserve">by stát majetkově vstoupil do tohoto </w:t>
      </w:r>
      <w:r w:rsidRPr="00FB25F1">
        <w:t>SPV. V okamžiku vstupu dojde k uhrazení předchozích nezbytných nákladů na projekt a hodnoty lokalit</w:t>
      </w:r>
      <w:r>
        <w:t>/y v závislosti na majetkovém podílu státu. Pro zajištění možnosti přípravy lokalit poskytne stát SPV či společnosti ČEZ ještě před svým vstupem a započetím dalších prací dostatečný signál, kterým vyjádří svůj zájem projekt tímto postupem rozvíjet. Tímto signálem může být uzavření opční smlouvy, smlouvy o odkupu SPV, nebo jiná varianta obchodního zajištění. Pro udržení kontinuity komplexní jaderné odbornosti a vazby na současné lokality je vhodné též ponechat částečnou majetkovou účast společnosti ČEZ v projektu.</w:t>
      </w:r>
    </w:p>
    <w:p w:rsidR="009E13DB" w:rsidRDefault="009E13DB" w:rsidP="009E13DB">
      <w:pPr>
        <w:jc w:val="both"/>
        <w:rPr>
          <w:b/>
        </w:rPr>
      </w:pPr>
      <w:r>
        <w:t xml:space="preserve">V závislosti na </w:t>
      </w:r>
      <w:r w:rsidRPr="00214E76">
        <w:t xml:space="preserve">načasování vstupu státu do projektu </w:t>
      </w:r>
      <w:r>
        <w:t>lze principiálně uvažovat dvě varianty:</w:t>
      </w:r>
    </w:p>
    <w:p w:rsidR="00651EBB" w:rsidRDefault="009E13DB" w:rsidP="009E13DB">
      <w:pPr>
        <w:pStyle w:val="Odstavecseseznamem"/>
        <w:numPr>
          <w:ilvl w:val="0"/>
          <w:numId w:val="22"/>
        </w:numPr>
        <w:spacing w:before="240"/>
        <w:jc w:val="both"/>
      </w:pPr>
      <w:r w:rsidRPr="00676231">
        <w:t>Okamžitý vstup státu do SPV</w:t>
      </w:r>
      <w:r>
        <w:t xml:space="preserve"> po jeho založení</w:t>
      </w:r>
      <w:r w:rsidRPr="00676231">
        <w:t xml:space="preserve">. </w:t>
      </w:r>
      <w:r>
        <w:t>V tomto případě má stát celý další rozvoj plně pod kontrolou. Nevýhodou tohoto postupu je, že stát ani dotčené orgány státní správy nejsou na okamžitý vstup státu do projektů nových jaderných zdrojů připraveny, což bude mít významný negativní vliv na harmonogram přípravné fáze.</w:t>
      </w:r>
    </w:p>
    <w:p w:rsidR="00651EBB" w:rsidRDefault="009E13DB" w:rsidP="009E13DB">
      <w:pPr>
        <w:pStyle w:val="Odstavecseseznamem"/>
        <w:numPr>
          <w:ilvl w:val="0"/>
          <w:numId w:val="22"/>
        </w:numPr>
        <w:spacing w:before="240"/>
        <w:jc w:val="both"/>
      </w:pPr>
      <w:r w:rsidRPr="00676231">
        <w:t xml:space="preserve">Vstup státu do SPV při dosažení </w:t>
      </w:r>
      <w:r>
        <w:t>stanoveného milníku</w:t>
      </w:r>
      <w:r w:rsidRPr="00676231">
        <w:t>. Do toho</w:t>
      </w:r>
      <w:r w:rsidR="004E4B3F">
        <w:t>to</w:t>
      </w:r>
      <w:r w:rsidRPr="00676231">
        <w:t xml:space="preserve"> okamžiku by byl projekt rozvíjen současným vlastníkem</w:t>
      </w:r>
      <w:r w:rsidR="00651EBB">
        <w:t>.</w:t>
      </w:r>
      <w:r w:rsidRPr="00676231">
        <w:t xml:space="preserve"> </w:t>
      </w:r>
    </w:p>
    <w:p w:rsidR="009E13DB" w:rsidRPr="006117AD" w:rsidRDefault="009E13DB" w:rsidP="009E13DB">
      <w:pPr>
        <w:jc w:val="both"/>
      </w:pPr>
      <w:r w:rsidRPr="006117AD">
        <w:t>Ve variantě B závisí vynaložené náklady na rozvoj projektu na dosaženém milníku. Na jeden projekt se může jednat o náklady v rozmezí 2,5 až 20 mld. Kč</w:t>
      </w:r>
      <w:r>
        <w:t xml:space="preserve"> v závislosti na milníku</w:t>
      </w:r>
      <w:r w:rsidRPr="006117AD">
        <w:t>.</w:t>
      </w:r>
      <w:r>
        <w:t xml:space="preserve"> Při paralelní přípravě obou projektů je možné předpokládat náklady v rozmezí 4,3 až 32 mld. Kč.</w:t>
      </w:r>
    </w:p>
    <w:p w:rsidR="009E13DB" w:rsidRPr="006117AD" w:rsidRDefault="009E13DB" w:rsidP="009E13DB">
      <w:pPr>
        <w:jc w:val="both"/>
      </w:pPr>
      <w:r w:rsidRPr="006117AD">
        <w:t xml:space="preserve">Výše vynaložených nákladů v jednotlivých letech přípravy projektu do okamžiku vydání stavebního povolení je závislá na finálně zvoleném dodavatelském a investorském modelu, jakož i na aplikovaném modelu obchodního zajištění. </w:t>
      </w:r>
    </w:p>
    <w:p w:rsidR="009E13DB" w:rsidRPr="006117AD" w:rsidRDefault="009E13DB" w:rsidP="009E13DB">
      <w:pPr>
        <w:jc w:val="both"/>
      </w:pPr>
      <w:r w:rsidRPr="006117AD">
        <w:t xml:space="preserve">Níže jsou uvedeny předpokládané limitní náklady </w:t>
      </w:r>
      <w:r>
        <w:t xml:space="preserve">vynakládané od 01/2015 do </w:t>
      </w:r>
      <w:r w:rsidRPr="006117AD">
        <w:t> jednotlivých dílčích milní</w:t>
      </w:r>
      <w:r>
        <w:t>ků</w:t>
      </w:r>
      <w:r w:rsidRPr="006117AD">
        <w:t xml:space="preserve"> projektu:</w:t>
      </w:r>
    </w:p>
    <w:p w:rsidR="00AA7720" w:rsidRPr="00AA7720" w:rsidRDefault="00AA7720" w:rsidP="00AA7720">
      <w:pPr>
        <w:pStyle w:val="Titulek"/>
        <w:keepNext/>
        <w:rPr>
          <w:color w:val="auto"/>
          <w:sz w:val="22"/>
        </w:rPr>
      </w:pPr>
      <w:bookmarkStart w:id="244" w:name="_Toc420058328"/>
      <w:r w:rsidRPr="00AA7720">
        <w:rPr>
          <w:color w:val="auto"/>
          <w:sz w:val="22"/>
        </w:rPr>
        <w:t xml:space="preserve">Tabulka č. </w:t>
      </w:r>
      <w:r w:rsidRPr="00AA7720">
        <w:fldChar w:fldCharType="begin"/>
      </w:r>
      <w:r w:rsidRPr="00AA7720">
        <w:rPr>
          <w:color w:val="auto"/>
          <w:sz w:val="22"/>
        </w:rPr>
        <w:instrText xml:space="preserve"> SEQ Tabulka_č. \* ARABIC </w:instrText>
      </w:r>
      <w:r w:rsidRPr="00AA7720">
        <w:fldChar w:fldCharType="separate"/>
      </w:r>
      <w:r w:rsidR="00FE1E1A">
        <w:rPr>
          <w:noProof/>
          <w:color w:val="auto"/>
          <w:sz w:val="22"/>
        </w:rPr>
        <w:t>24</w:t>
      </w:r>
      <w:r w:rsidRPr="00AA7720">
        <w:fldChar w:fldCharType="end"/>
      </w:r>
      <w:r w:rsidRPr="00AA7720">
        <w:rPr>
          <w:color w:val="auto"/>
          <w:sz w:val="22"/>
        </w:rPr>
        <w:t xml:space="preserve">: </w:t>
      </w:r>
      <w:r w:rsidRPr="00AA7720">
        <w:rPr>
          <w:b w:val="0"/>
          <w:i/>
          <w:color w:val="auto"/>
          <w:sz w:val="22"/>
        </w:rPr>
        <w:t>Limitní náklady vynakládané od 01/2015 do  jednotlivých dílčích milníků projektu</w:t>
      </w:r>
      <w:bookmarkEnd w:id="244"/>
    </w:p>
    <w:tbl>
      <w:tblPr>
        <w:tblStyle w:val="Mkatabulky"/>
        <w:tblW w:w="0" w:type="auto"/>
        <w:tblLook w:val="04A0" w:firstRow="1" w:lastRow="0" w:firstColumn="1" w:lastColumn="0" w:noHBand="0" w:noVBand="1"/>
      </w:tblPr>
      <w:tblGrid>
        <w:gridCol w:w="2943"/>
        <w:gridCol w:w="1701"/>
        <w:gridCol w:w="2321"/>
        <w:gridCol w:w="2321"/>
      </w:tblGrid>
      <w:tr w:rsidR="009E13DB" w:rsidRPr="002918F0" w:rsidTr="004B10B9">
        <w:tc>
          <w:tcPr>
            <w:tcW w:w="2943" w:type="dxa"/>
            <w:tcBorders>
              <w:top w:val="single" w:sz="12" w:space="0" w:color="auto"/>
              <w:left w:val="single" w:sz="12" w:space="0" w:color="auto"/>
              <w:bottom w:val="single" w:sz="12" w:space="0" w:color="auto"/>
              <w:right w:val="single" w:sz="4" w:space="0" w:color="auto"/>
            </w:tcBorders>
            <w:shd w:val="clear" w:color="auto" w:fill="B8CCE4" w:themeFill="accent1" w:themeFillTint="66"/>
          </w:tcPr>
          <w:p w:rsidR="009E13DB" w:rsidRPr="006D67EB" w:rsidRDefault="009E13DB" w:rsidP="006D67EB">
            <w:pPr>
              <w:rPr>
                <w:b/>
              </w:rPr>
            </w:pPr>
            <w:r w:rsidRPr="006D67EB">
              <w:rPr>
                <w:b/>
              </w:rPr>
              <w:t>Milník</w:t>
            </w:r>
          </w:p>
        </w:tc>
        <w:tc>
          <w:tcPr>
            <w:tcW w:w="1701" w:type="dxa"/>
            <w:tcBorders>
              <w:top w:val="single" w:sz="12" w:space="0" w:color="auto"/>
              <w:left w:val="single" w:sz="4" w:space="0" w:color="auto"/>
              <w:bottom w:val="single" w:sz="12" w:space="0" w:color="auto"/>
              <w:right w:val="single" w:sz="4" w:space="0" w:color="auto"/>
            </w:tcBorders>
            <w:shd w:val="clear" w:color="auto" w:fill="B8CCE4" w:themeFill="accent1" w:themeFillTint="66"/>
          </w:tcPr>
          <w:p w:rsidR="009E13DB" w:rsidRPr="006D67EB" w:rsidRDefault="009E13DB" w:rsidP="006D67EB">
            <w:pPr>
              <w:rPr>
                <w:b/>
              </w:rPr>
            </w:pPr>
            <w:r w:rsidRPr="006D67EB">
              <w:rPr>
                <w:b/>
              </w:rPr>
              <w:t>Předpokládaný termín (ETE / EDU)</w:t>
            </w:r>
          </w:p>
        </w:tc>
        <w:tc>
          <w:tcPr>
            <w:tcW w:w="2321" w:type="dxa"/>
            <w:tcBorders>
              <w:top w:val="single" w:sz="12" w:space="0" w:color="auto"/>
              <w:left w:val="single" w:sz="4" w:space="0" w:color="auto"/>
              <w:bottom w:val="single" w:sz="12" w:space="0" w:color="auto"/>
              <w:right w:val="single" w:sz="4" w:space="0" w:color="auto"/>
            </w:tcBorders>
            <w:shd w:val="clear" w:color="auto" w:fill="B8CCE4" w:themeFill="accent1" w:themeFillTint="66"/>
          </w:tcPr>
          <w:p w:rsidR="009E13DB" w:rsidRPr="006D67EB" w:rsidRDefault="009E13DB" w:rsidP="006D67EB">
            <w:pPr>
              <w:rPr>
                <w:b/>
              </w:rPr>
            </w:pPr>
            <w:r w:rsidRPr="006D67EB">
              <w:rPr>
                <w:b/>
              </w:rPr>
              <w:t>Náklady na 1 projekt (ETE – EDU)</w:t>
            </w:r>
            <w:r w:rsidR="00E64D47">
              <w:rPr>
                <w:b/>
              </w:rPr>
              <w:t xml:space="preserve"> </w:t>
            </w:r>
            <w:r w:rsidR="00E64D47">
              <w:rPr>
                <w:b/>
                <w:lang w:val="en-US"/>
              </w:rPr>
              <w:t>[</w:t>
            </w:r>
            <w:r w:rsidR="00E64D47">
              <w:rPr>
                <w:b/>
              </w:rPr>
              <w:t>mld. Kč]</w:t>
            </w:r>
          </w:p>
        </w:tc>
        <w:tc>
          <w:tcPr>
            <w:tcW w:w="2321" w:type="dxa"/>
            <w:tcBorders>
              <w:top w:val="single" w:sz="12" w:space="0" w:color="auto"/>
              <w:left w:val="single" w:sz="4" w:space="0" w:color="auto"/>
              <w:bottom w:val="single" w:sz="12" w:space="0" w:color="auto"/>
              <w:right w:val="single" w:sz="12" w:space="0" w:color="auto"/>
            </w:tcBorders>
            <w:shd w:val="clear" w:color="auto" w:fill="B8CCE4" w:themeFill="accent1" w:themeFillTint="66"/>
          </w:tcPr>
          <w:p w:rsidR="009E13DB" w:rsidRPr="006D67EB" w:rsidRDefault="009E13DB" w:rsidP="006D67EB">
            <w:pPr>
              <w:rPr>
                <w:b/>
              </w:rPr>
            </w:pPr>
            <w:r w:rsidRPr="006D67EB">
              <w:rPr>
                <w:b/>
              </w:rPr>
              <w:t>Náklady na pa</w:t>
            </w:r>
            <w:r w:rsidR="00E64D47">
              <w:rPr>
                <w:b/>
              </w:rPr>
              <w:t>ralelní přípravu obou projektů [mld. Kč]</w:t>
            </w:r>
          </w:p>
        </w:tc>
      </w:tr>
      <w:tr w:rsidR="009E13DB" w:rsidRPr="002918F0" w:rsidTr="004B10B9">
        <w:tc>
          <w:tcPr>
            <w:tcW w:w="2943" w:type="dxa"/>
            <w:tcBorders>
              <w:top w:val="single" w:sz="12" w:space="0" w:color="auto"/>
              <w:left w:val="single" w:sz="12" w:space="0" w:color="auto"/>
              <w:bottom w:val="dotted" w:sz="4" w:space="0" w:color="808080" w:themeColor="background1" w:themeShade="80"/>
              <w:right w:val="single" w:sz="4" w:space="0" w:color="auto"/>
            </w:tcBorders>
          </w:tcPr>
          <w:p w:rsidR="009E13DB" w:rsidRPr="006D67EB" w:rsidRDefault="009E13DB" w:rsidP="006D67EB">
            <w:r w:rsidRPr="006D67EB">
              <w:t>Výběr EPC dodavatel, podpis EPC smlouvy s částečnou účinností</w:t>
            </w:r>
          </w:p>
        </w:tc>
        <w:tc>
          <w:tcPr>
            <w:tcW w:w="1701" w:type="dxa"/>
            <w:tcBorders>
              <w:top w:val="single" w:sz="12" w:space="0" w:color="auto"/>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2019</w:t>
            </w:r>
          </w:p>
        </w:tc>
        <w:tc>
          <w:tcPr>
            <w:tcW w:w="2321" w:type="dxa"/>
            <w:tcBorders>
              <w:top w:val="single" w:sz="12" w:space="0" w:color="auto"/>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2,5 – 2,6</w:t>
            </w:r>
          </w:p>
        </w:tc>
        <w:tc>
          <w:tcPr>
            <w:tcW w:w="2321" w:type="dxa"/>
            <w:tcBorders>
              <w:top w:val="single" w:sz="12" w:space="0" w:color="auto"/>
              <w:left w:val="single" w:sz="4" w:space="0" w:color="auto"/>
              <w:bottom w:val="dotted" w:sz="4" w:space="0" w:color="808080" w:themeColor="background1" w:themeShade="80"/>
              <w:right w:val="single" w:sz="12" w:space="0" w:color="auto"/>
            </w:tcBorders>
            <w:vAlign w:val="center"/>
          </w:tcPr>
          <w:p w:rsidR="009E13DB" w:rsidRPr="006D67EB" w:rsidRDefault="009E13DB" w:rsidP="006D67EB">
            <w:pPr>
              <w:jc w:val="center"/>
            </w:pPr>
            <w:r w:rsidRPr="006D67EB">
              <w:t>4,3</w:t>
            </w:r>
          </w:p>
        </w:tc>
      </w:tr>
      <w:tr w:rsidR="009E13DB" w:rsidRPr="002918F0" w:rsidTr="004B10B9">
        <w:tc>
          <w:tcPr>
            <w:tcW w:w="2943" w:type="dxa"/>
            <w:tcBorders>
              <w:top w:val="dotted" w:sz="4" w:space="0" w:color="808080" w:themeColor="background1" w:themeShade="80"/>
              <w:left w:val="single" w:sz="12" w:space="0" w:color="auto"/>
              <w:bottom w:val="dotted" w:sz="4" w:space="0" w:color="808080" w:themeColor="background1" w:themeShade="80"/>
              <w:right w:val="single" w:sz="4" w:space="0" w:color="auto"/>
            </w:tcBorders>
          </w:tcPr>
          <w:p w:rsidR="009E13DB" w:rsidRPr="006D67EB" w:rsidRDefault="009E13DB" w:rsidP="006D67EB">
            <w:r w:rsidRPr="006D67EB">
              <w:t>Vydání územního rozhodnutí</w:t>
            </w:r>
          </w:p>
        </w:tc>
        <w:tc>
          <w:tcPr>
            <w:tcW w:w="1701"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2022</w:t>
            </w:r>
          </w:p>
        </w:tc>
        <w:tc>
          <w:tcPr>
            <w:tcW w:w="2321"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10,7 – 10,9</w:t>
            </w:r>
          </w:p>
        </w:tc>
        <w:tc>
          <w:tcPr>
            <w:tcW w:w="2321" w:type="dxa"/>
            <w:tcBorders>
              <w:top w:val="dotted" w:sz="4" w:space="0" w:color="808080" w:themeColor="background1" w:themeShade="80"/>
              <w:left w:val="single" w:sz="4" w:space="0" w:color="auto"/>
              <w:bottom w:val="dotted" w:sz="4" w:space="0" w:color="808080" w:themeColor="background1" w:themeShade="80"/>
              <w:right w:val="single" w:sz="12" w:space="0" w:color="auto"/>
            </w:tcBorders>
            <w:vAlign w:val="center"/>
          </w:tcPr>
          <w:p w:rsidR="009E13DB" w:rsidRPr="006D67EB" w:rsidRDefault="009E13DB" w:rsidP="006D67EB">
            <w:pPr>
              <w:jc w:val="center"/>
            </w:pPr>
            <w:r w:rsidRPr="006D67EB">
              <w:t>17,5</w:t>
            </w:r>
          </w:p>
        </w:tc>
      </w:tr>
      <w:tr w:rsidR="009E13DB" w:rsidRPr="002918F0" w:rsidTr="004B10B9">
        <w:tc>
          <w:tcPr>
            <w:tcW w:w="2943" w:type="dxa"/>
            <w:tcBorders>
              <w:top w:val="dotted" w:sz="4" w:space="0" w:color="808080" w:themeColor="background1" w:themeShade="80"/>
              <w:left w:val="single" w:sz="12" w:space="0" w:color="auto"/>
              <w:bottom w:val="dotted" w:sz="4" w:space="0" w:color="808080" w:themeColor="background1" w:themeShade="80"/>
              <w:right w:val="single" w:sz="4" w:space="0" w:color="auto"/>
            </w:tcBorders>
          </w:tcPr>
          <w:p w:rsidR="009E13DB" w:rsidRPr="006D67EB" w:rsidRDefault="009E13DB" w:rsidP="006D67EB">
            <w:r w:rsidRPr="006D67EB">
              <w:t>Vydání Povolení k výstavbě (SÚJB)</w:t>
            </w:r>
          </w:p>
        </w:tc>
        <w:tc>
          <w:tcPr>
            <w:tcW w:w="1701"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2024</w:t>
            </w:r>
          </w:p>
        </w:tc>
        <w:tc>
          <w:tcPr>
            <w:tcW w:w="2321"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9E13DB" w:rsidRPr="006D67EB" w:rsidRDefault="009E13DB" w:rsidP="006D67EB">
            <w:pPr>
              <w:jc w:val="center"/>
            </w:pPr>
            <w:r w:rsidRPr="006D67EB">
              <w:t>16,4 – 17,2</w:t>
            </w:r>
          </w:p>
        </w:tc>
        <w:tc>
          <w:tcPr>
            <w:tcW w:w="2321" w:type="dxa"/>
            <w:tcBorders>
              <w:top w:val="dotted" w:sz="4" w:space="0" w:color="808080" w:themeColor="background1" w:themeShade="80"/>
              <w:left w:val="single" w:sz="4" w:space="0" w:color="auto"/>
              <w:bottom w:val="dotted" w:sz="4" w:space="0" w:color="808080" w:themeColor="background1" w:themeShade="80"/>
              <w:right w:val="single" w:sz="12" w:space="0" w:color="auto"/>
            </w:tcBorders>
            <w:vAlign w:val="center"/>
          </w:tcPr>
          <w:p w:rsidR="009E13DB" w:rsidRPr="006D67EB" w:rsidRDefault="009E13DB" w:rsidP="006D67EB">
            <w:pPr>
              <w:jc w:val="center"/>
            </w:pPr>
            <w:r w:rsidRPr="006D67EB">
              <w:t>27,2</w:t>
            </w:r>
          </w:p>
        </w:tc>
      </w:tr>
      <w:tr w:rsidR="009E13DB" w:rsidRPr="002918F0" w:rsidTr="004B10B9">
        <w:tc>
          <w:tcPr>
            <w:tcW w:w="2943" w:type="dxa"/>
            <w:tcBorders>
              <w:top w:val="dotted" w:sz="4" w:space="0" w:color="808080" w:themeColor="background1" w:themeShade="80"/>
              <w:left w:val="single" w:sz="12" w:space="0" w:color="auto"/>
              <w:bottom w:val="thinThickSmallGap" w:sz="24" w:space="0" w:color="auto"/>
              <w:right w:val="single" w:sz="4" w:space="0" w:color="auto"/>
            </w:tcBorders>
          </w:tcPr>
          <w:p w:rsidR="009E13DB" w:rsidRPr="006D67EB" w:rsidRDefault="009E13DB" w:rsidP="006D67EB">
            <w:r w:rsidRPr="006D67EB">
              <w:t>Vydání stavebního povolení (připravenost projektu k realizaci, tj. k vydání oznámení o plné účinnosti EPC smlouvy)</w:t>
            </w:r>
          </w:p>
        </w:tc>
        <w:tc>
          <w:tcPr>
            <w:tcW w:w="1701" w:type="dxa"/>
            <w:tcBorders>
              <w:top w:val="dotted" w:sz="4" w:space="0" w:color="808080" w:themeColor="background1" w:themeShade="80"/>
              <w:left w:val="single" w:sz="4" w:space="0" w:color="auto"/>
              <w:bottom w:val="thinThickSmallGap" w:sz="24" w:space="0" w:color="auto"/>
              <w:right w:val="single" w:sz="4" w:space="0" w:color="auto"/>
            </w:tcBorders>
            <w:vAlign w:val="center"/>
          </w:tcPr>
          <w:p w:rsidR="009E13DB" w:rsidRPr="006D67EB" w:rsidRDefault="009E13DB" w:rsidP="006D67EB">
            <w:pPr>
              <w:jc w:val="center"/>
            </w:pPr>
            <w:r w:rsidRPr="006D67EB">
              <w:t>2025</w:t>
            </w:r>
          </w:p>
        </w:tc>
        <w:tc>
          <w:tcPr>
            <w:tcW w:w="2321" w:type="dxa"/>
            <w:tcBorders>
              <w:top w:val="dotted" w:sz="4" w:space="0" w:color="808080" w:themeColor="background1" w:themeShade="80"/>
              <w:left w:val="single" w:sz="4" w:space="0" w:color="auto"/>
              <w:bottom w:val="thinThickSmallGap" w:sz="24" w:space="0" w:color="auto"/>
              <w:right w:val="single" w:sz="4" w:space="0" w:color="auto"/>
            </w:tcBorders>
            <w:vAlign w:val="center"/>
          </w:tcPr>
          <w:p w:rsidR="009E13DB" w:rsidRPr="006D67EB" w:rsidRDefault="009E13DB" w:rsidP="006D67EB">
            <w:pPr>
              <w:jc w:val="center"/>
            </w:pPr>
            <w:r w:rsidRPr="006D67EB">
              <w:t>19,1 – 20,2</w:t>
            </w:r>
          </w:p>
        </w:tc>
        <w:tc>
          <w:tcPr>
            <w:tcW w:w="2321" w:type="dxa"/>
            <w:tcBorders>
              <w:top w:val="dotted" w:sz="4" w:space="0" w:color="808080" w:themeColor="background1" w:themeShade="80"/>
              <w:left w:val="single" w:sz="4" w:space="0" w:color="auto"/>
              <w:bottom w:val="thinThickSmallGap" w:sz="24" w:space="0" w:color="auto"/>
              <w:right w:val="single" w:sz="12" w:space="0" w:color="auto"/>
            </w:tcBorders>
            <w:vAlign w:val="center"/>
          </w:tcPr>
          <w:p w:rsidR="009E13DB" w:rsidRPr="006D67EB" w:rsidRDefault="009E13DB" w:rsidP="006D67EB">
            <w:pPr>
              <w:jc w:val="center"/>
            </w:pPr>
            <w:r w:rsidRPr="006D67EB">
              <w:t>31,9</w:t>
            </w:r>
          </w:p>
        </w:tc>
      </w:tr>
    </w:tbl>
    <w:p w:rsidR="009E13DB" w:rsidRPr="006117AD" w:rsidRDefault="009E13DB" w:rsidP="009E13DB">
      <w:pPr>
        <w:spacing w:before="200"/>
        <w:jc w:val="both"/>
      </w:pPr>
      <w:r w:rsidRPr="006117AD">
        <w:lastRenderedPageBreak/>
        <w:t>Předpokládané limitní náklady v jednotlivých dílčích milnících projektu byly stanoveny na základě následujících předpokladů:</w:t>
      </w:r>
    </w:p>
    <w:p w:rsidR="009E13DB" w:rsidRPr="006117AD" w:rsidRDefault="009E13DB" w:rsidP="0044189F">
      <w:pPr>
        <w:pStyle w:val="Odstavecseseznamem"/>
        <w:numPr>
          <w:ilvl w:val="0"/>
          <w:numId w:val="63"/>
        </w:numPr>
        <w:spacing w:before="240"/>
        <w:jc w:val="both"/>
      </w:pPr>
      <w:r w:rsidRPr="006117AD">
        <w:t>EPC dodavatelský model pro dodávku elektrárny doplněný o investorsky zajištěné související a vyvolané investice v lokalitě i mimo ni</w:t>
      </w:r>
      <w:r w:rsidR="00851303">
        <w:t>.</w:t>
      </w:r>
    </w:p>
    <w:p w:rsidR="009E13DB" w:rsidRPr="006117AD" w:rsidRDefault="009E13DB" w:rsidP="0044189F">
      <w:pPr>
        <w:pStyle w:val="Odstavecseseznamem"/>
        <w:numPr>
          <w:ilvl w:val="0"/>
          <w:numId w:val="63"/>
        </w:numPr>
        <w:spacing w:before="240"/>
        <w:jc w:val="both"/>
      </w:pPr>
      <w:r w:rsidRPr="006117AD">
        <w:t>Výběr EPC dodavatele d</w:t>
      </w:r>
      <w:r w:rsidR="00851303">
        <w:t>le Zákona o veřejných zakázkách.</w:t>
      </w:r>
    </w:p>
    <w:p w:rsidR="009E13DB" w:rsidRPr="006117AD" w:rsidRDefault="009E13DB" w:rsidP="0044189F">
      <w:pPr>
        <w:pStyle w:val="Odstavecseseznamem"/>
        <w:numPr>
          <w:ilvl w:val="0"/>
          <w:numId w:val="63"/>
        </w:numPr>
        <w:spacing w:before="240"/>
        <w:jc w:val="both"/>
      </w:pPr>
      <w:r w:rsidRPr="006117AD">
        <w:t>Aplikace stávající legislativy pro povolovací a licenční řízení</w:t>
      </w:r>
      <w:r w:rsidR="00851303">
        <w:t>.</w:t>
      </w:r>
    </w:p>
    <w:p w:rsidR="009E13DB" w:rsidRPr="006117AD" w:rsidRDefault="009E13DB" w:rsidP="0044189F">
      <w:pPr>
        <w:pStyle w:val="Odstavecseseznamem"/>
        <w:numPr>
          <w:ilvl w:val="0"/>
          <w:numId w:val="63"/>
        </w:numPr>
        <w:spacing w:before="240"/>
        <w:jc w:val="both"/>
      </w:pPr>
      <w:r w:rsidRPr="006117AD">
        <w:t>Nezohlednění rizik se zásadním dopadem na harmonogram / rozpočet projektu (soudní napadení, výrazné prodloužení povolovacích a licenčních procesů apod.)</w:t>
      </w:r>
      <w:r w:rsidR="00851303">
        <w:t>.</w:t>
      </w:r>
    </w:p>
    <w:p w:rsidR="009E13DB" w:rsidRPr="006117AD" w:rsidRDefault="009E13DB" w:rsidP="0044189F">
      <w:pPr>
        <w:pStyle w:val="Odstavecseseznamem"/>
        <w:numPr>
          <w:ilvl w:val="0"/>
          <w:numId w:val="63"/>
        </w:numPr>
        <w:spacing w:before="240"/>
        <w:jc w:val="both"/>
      </w:pPr>
      <w:r w:rsidRPr="006117AD">
        <w:t>Náklady na paraleln</w:t>
      </w:r>
      <w:r>
        <w:t>í</w:t>
      </w:r>
      <w:r w:rsidRPr="006117AD">
        <w:t xml:space="preserve"> přípravu obou projektů uvažují maximální synergie za předpokladu společného nebo paralelně realizovaného výběrového řízení, výběru shodného dodavatele a</w:t>
      </w:r>
      <w:r w:rsidR="00AA7720">
        <w:t> </w:t>
      </w:r>
      <w:r w:rsidRPr="006117AD">
        <w:t>paralelně probíhajících povolovacích a licenčních řízení na bázi shodné technologie</w:t>
      </w:r>
      <w:r w:rsidR="00851303">
        <w:t>.</w:t>
      </w:r>
    </w:p>
    <w:p w:rsidR="009E13DB" w:rsidRPr="006117AD" w:rsidRDefault="009E13DB" w:rsidP="0044189F">
      <w:pPr>
        <w:pStyle w:val="Odstavecseseznamem"/>
        <w:numPr>
          <w:ilvl w:val="0"/>
          <w:numId w:val="63"/>
        </w:numPr>
        <w:spacing w:before="240"/>
        <w:jc w:val="both"/>
      </w:pPr>
      <w:r w:rsidRPr="006117AD">
        <w:t>Projekty jsou realizovány prostřednictvím SPV (náklady na provoz SPV jsou obsaženy v celkových nákladech)</w:t>
      </w:r>
      <w:r w:rsidR="00851303">
        <w:t>.</w:t>
      </w:r>
    </w:p>
    <w:p w:rsidR="009E13DB" w:rsidRPr="00743851" w:rsidRDefault="009E13DB" w:rsidP="00E06238">
      <w:pPr>
        <w:jc w:val="both"/>
      </w:pPr>
      <w:r w:rsidRPr="00743851">
        <w:t>Výše uvedené údaje se vztahují na přípravu projektu ve variantě výstavby dvou bloků (ve všech</w:t>
      </w:r>
      <w:r>
        <w:t xml:space="preserve"> </w:t>
      </w:r>
      <w:r w:rsidRPr="00743851">
        <w:t>krocích, tj. EIA, výběr dodavatele, povolení k umístění, územní povolení, povolení k výstavbě) s tím, že bude zatím plánovaná realizace pouze 1 bloku v dané lokalitě, s možností rozšíření na dva bloky</w:t>
      </w:r>
      <w:r>
        <w:t>. Náklady nezahrnují hodnotu lokalit, ani hodnotu části ČEZ, a. s.</w:t>
      </w:r>
      <w:r w:rsidR="00115B77">
        <w:t>,</w:t>
      </w:r>
      <w:r>
        <w:t xml:space="preserve"> vyčleněnou do SPV.</w:t>
      </w:r>
    </w:p>
    <w:p w:rsidR="009E13DB" w:rsidRPr="00EC577A" w:rsidRDefault="009E13DB" w:rsidP="009E13DB">
      <w:pPr>
        <w:rPr>
          <w:u w:val="single"/>
        </w:rPr>
      </w:pPr>
      <w:r w:rsidRPr="00EC577A">
        <w:rPr>
          <w:u w:val="single"/>
        </w:rPr>
        <w:t>Velikost kapitálové účasti státu</w:t>
      </w:r>
    </w:p>
    <w:p w:rsidR="009E13DB" w:rsidRDefault="009E13DB" w:rsidP="009E13DB">
      <w:pPr>
        <w:jc w:val="both"/>
      </w:pPr>
      <w:r w:rsidRPr="00214E76">
        <w:t xml:space="preserve">Pro minimalizování dopadů na státní rozpočet je </w:t>
      </w:r>
      <w:r>
        <w:t xml:space="preserve">vhodné </w:t>
      </w:r>
      <w:r w:rsidRPr="00214E76">
        <w:t>využít</w:t>
      </w:r>
      <w:r>
        <w:t xml:space="preserve"> jak možnosti financování ze strany dodavatele (a/nebo strategického investora), zapojení exportních agentur a externí půjčky od bank či mezivládní půjčky. </w:t>
      </w:r>
    </w:p>
    <w:p w:rsidR="009E13DB" w:rsidRPr="00214E76" w:rsidRDefault="009E13DB" w:rsidP="009E13DB">
      <w:r>
        <w:t>Konkrétně se dá uvažovat v následujících rozmezích</w:t>
      </w:r>
      <w:r w:rsidRPr="00214E76">
        <w:t>:</w:t>
      </w:r>
    </w:p>
    <w:p w:rsidR="009E13DB" w:rsidRPr="00214E76" w:rsidRDefault="009E13DB" w:rsidP="0044189F">
      <w:pPr>
        <w:pStyle w:val="Odstavecseseznamem"/>
        <w:numPr>
          <w:ilvl w:val="0"/>
          <w:numId w:val="23"/>
        </w:numPr>
        <w:spacing w:before="240"/>
        <w:jc w:val="both"/>
      </w:pPr>
      <w:r>
        <w:t>Č</w:t>
      </w:r>
      <w:r w:rsidRPr="00214E76">
        <w:t>ástečné financování ekvitou dodavatel</w:t>
      </w:r>
      <w:r>
        <w:t xml:space="preserve">e technologie (nebo strategického partnera spojeného s dodavatelem technologie). Podle předběžných vyjádření možných dodavatelů a příkladů z projektů v dalších zemích </w:t>
      </w:r>
      <w:r w:rsidRPr="00214E76">
        <w:t xml:space="preserve">předpokládáme </w:t>
      </w:r>
      <w:r w:rsidRPr="00357F27">
        <w:rPr>
          <w:b/>
        </w:rPr>
        <w:t>zapojení dodavatele na 30</w:t>
      </w:r>
      <w:r w:rsidR="00115B77">
        <w:rPr>
          <w:b/>
        </w:rPr>
        <w:t xml:space="preserve"> </w:t>
      </w:r>
      <w:r w:rsidRPr="00214E76">
        <w:rPr>
          <w:b/>
        </w:rPr>
        <w:t>% z</w:t>
      </w:r>
      <w:r w:rsidR="00AA7720">
        <w:t> </w:t>
      </w:r>
      <w:r w:rsidRPr="00214E76">
        <w:t xml:space="preserve">celkového </w:t>
      </w:r>
      <w:proofErr w:type="spellStart"/>
      <w:r w:rsidRPr="00214E76">
        <w:t>ekvitového</w:t>
      </w:r>
      <w:proofErr w:type="spellEnd"/>
      <w:r w:rsidRPr="00214E76">
        <w:t xml:space="preserve"> podílu</w:t>
      </w:r>
      <w:r w:rsidR="004E4B3F">
        <w:t>, t</w:t>
      </w:r>
      <w:r>
        <w:t xml:space="preserve">j. v závislosti na podílu ekvity a dluhu </w:t>
      </w:r>
      <w:r w:rsidR="004E4B3F">
        <w:t xml:space="preserve">je </w:t>
      </w:r>
      <w:r>
        <w:t>možné očekávat 12</w:t>
      </w:r>
      <w:r w:rsidRPr="00883975">
        <w:t>-</w:t>
      </w:r>
      <w:r>
        <w:t>30</w:t>
      </w:r>
      <w:r w:rsidR="00115B77">
        <w:t xml:space="preserve"> </w:t>
      </w:r>
      <w:r w:rsidRPr="00883975">
        <w:t xml:space="preserve">% </w:t>
      </w:r>
      <w:r>
        <w:t xml:space="preserve">z celkové investice. </w:t>
      </w:r>
    </w:p>
    <w:p w:rsidR="009E13DB" w:rsidRPr="00214E76" w:rsidRDefault="009E13DB" w:rsidP="0044189F">
      <w:pPr>
        <w:pStyle w:val="Odstavecseseznamem"/>
        <w:numPr>
          <w:ilvl w:val="0"/>
          <w:numId w:val="23"/>
        </w:numPr>
        <w:spacing w:before="240"/>
        <w:jc w:val="both"/>
      </w:pPr>
      <w:r>
        <w:t>V</w:t>
      </w:r>
      <w:r w:rsidRPr="00214E76">
        <w:t xml:space="preserve">yužití exportních </w:t>
      </w:r>
      <w:r w:rsidR="00947E5E">
        <w:t xml:space="preserve">úvěrových </w:t>
      </w:r>
      <w:r w:rsidRPr="00214E76">
        <w:t xml:space="preserve">agentur </w:t>
      </w:r>
      <w:r>
        <w:t xml:space="preserve">(ECA) </w:t>
      </w:r>
      <w:r w:rsidRPr="00214E76">
        <w:t>ze země/í dodavatele (financování dluhem za dodávky ze z</w:t>
      </w:r>
      <w:r>
        <w:t>e</w:t>
      </w:r>
      <w:r w:rsidRPr="00214E76">
        <w:t>mě/í dodavatele</w:t>
      </w:r>
      <w:r>
        <w:t xml:space="preserve">). Podle předběžných vyjádření dodavatelů </w:t>
      </w:r>
      <w:r w:rsidRPr="00214E76">
        <w:t>předpokládáme 80</w:t>
      </w:r>
      <w:r w:rsidR="00115B77">
        <w:t xml:space="preserve"> </w:t>
      </w:r>
      <w:r w:rsidRPr="00214E76">
        <w:t xml:space="preserve">% </w:t>
      </w:r>
      <w:r>
        <w:t>pokrytí za dodávky ze zemí dodavatele. Při předpokladu 90</w:t>
      </w:r>
      <w:r w:rsidR="00115B77">
        <w:t xml:space="preserve"> </w:t>
      </w:r>
      <w:r w:rsidRPr="00883975">
        <w:t xml:space="preserve">% </w:t>
      </w:r>
      <w:r>
        <w:t>podílu EPC dodávky na celkových nákladech na investici investice, 40</w:t>
      </w:r>
      <w:r w:rsidR="00115B77">
        <w:t xml:space="preserve"> </w:t>
      </w:r>
      <w:r w:rsidRPr="00883975">
        <w:t>% pod</w:t>
      </w:r>
      <w:r>
        <w:t>ílu dodávky ze zemí dodavatele z EPC dodávky a 80</w:t>
      </w:r>
      <w:r w:rsidR="00115B77">
        <w:t xml:space="preserve"> </w:t>
      </w:r>
      <w:r w:rsidRPr="00883975">
        <w:t xml:space="preserve">% </w:t>
      </w:r>
      <w:r>
        <w:t xml:space="preserve">krytí pomocí ECA je možné uvažovat celkově </w:t>
      </w:r>
      <w:r w:rsidRPr="00883975">
        <w:rPr>
          <w:b/>
        </w:rPr>
        <w:t>cca 30</w:t>
      </w:r>
      <w:r w:rsidR="00115B77">
        <w:rPr>
          <w:b/>
        </w:rPr>
        <w:t xml:space="preserve"> </w:t>
      </w:r>
      <w:r w:rsidRPr="00883975">
        <w:rPr>
          <w:b/>
        </w:rPr>
        <w:t>% podílu</w:t>
      </w:r>
      <w:r>
        <w:t xml:space="preserve"> na celkové investici pomocí ECA (90</w:t>
      </w:r>
      <w:r w:rsidR="00115B77">
        <w:t xml:space="preserve"> </w:t>
      </w:r>
      <w:r>
        <w:t>% x 80</w:t>
      </w:r>
      <w:r w:rsidR="00115B77">
        <w:t xml:space="preserve"> </w:t>
      </w:r>
      <w:r w:rsidRPr="00883975">
        <w:t xml:space="preserve">% x </w:t>
      </w:r>
      <w:r>
        <w:t>40</w:t>
      </w:r>
      <w:r w:rsidR="00115B77">
        <w:t xml:space="preserve"> </w:t>
      </w:r>
      <w:r>
        <w:t>%).</w:t>
      </w:r>
      <w:r w:rsidRPr="00526C0E">
        <w:t xml:space="preserve"> </w:t>
      </w:r>
      <w:r>
        <w:t>V případě, že by byl vyšší podíl českých dodavatelských společností, byl by adekvátně ponížen i podíl krytý pomocí ECA.</w:t>
      </w:r>
    </w:p>
    <w:p w:rsidR="004B10B9" w:rsidRDefault="009E13DB" w:rsidP="0044189F">
      <w:pPr>
        <w:pStyle w:val="Odstavecseseznamem"/>
        <w:numPr>
          <w:ilvl w:val="0"/>
          <w:numId w:val="23"/>
        </w:numPr>
        <w:spacing w:before="240"/>
        <w:jc w:val="both"/>
        <w:rPr>
          <w:lang w:val="en-US"/>
        </w:rPr>
      </w:pPr>
      <w:r>
        <w:t>Externí komerční nebo mezistátní d</w:t>
      </w:r>
      <w:r w:rsidRPr="00214E76">
        <w:t>luhové financování zajištěné garancí státu za dluh</w:t>
      </w:r>
      <w:r>
        <w:t>. Z důvodů poskytnuté garance za dluh je možné omezit riziko připočtení externího dluhu k dluhu státu a tím snížit budoucí zadlužení státu z důvodu výstavby projektu. Konzervativně uvažujeme s</w:t>
      </w:r>
      <w:r w:rsidR="004E4B3F">
        <w:t> </w:t>
      </w:r>
      <w:r w:rsidRPr="006A054D">
        <w:rPr>
          <w:b/>
        </w:rPr>
        <w:t>30</w:t>
      </w:r>
      <w:r w:rsidR="004E4B3F">
        <w:rPr>
          <w:b/>
        </w:rPr>
        <w:t xml:space="preserve"> </w:t>
      </w:r>
      <w:r w:rsidRPr="006A054D">
        <w:rPr>
          <w:b/>
          <w:lang w:val="en-US"/>
        </w:rPr>
        <w:t>%</w:t>
      </w:r>
      <w:r>
        <w:rPr>
          <w:lang w:val="en-US"/>
        </w:rPr>
        <w:t xml:space="preserve"> </w:t>
      </w:r>
      <w:r w:rsidRPr="006A054D">
        <w:t>podílem tohoto financování na celkové investici</w:t>
      </w:r>
      <w:r>
        <w:rPr>
          <w:lang w:val="en-US"/>
        </w:rPr>
        <w:t>.</w:t>
      </w:r>
    </w:p>
    <w:p w:rsidR="004B10B9" w:rsidRDefault="004B10B9">
      <w:pPr>
        <w:rPr>
          <w:lang w:val="en-US"/>
        </w:rPr>
      </w:pPr>
      <w:r>
        <w:rPr>
          <w:lang w:val="en-US"/>
        </w:rPr>
        <w:br w:type="page"/>
      </w:r>
    </w:p>
    <w:p w:rsidR="009E13DB" w:rsidRPr="00FE5FCD" w:rsidRDefault="009E13DB" w:rsidP="009E13DB">
      <w:pPr>
        <w:pStyle w:val="Nadpis2"/>
      </w:pPr>
      <w:bookmarkStart w:id="245" w:name="_Toc407035620"/>
      <w:bookmarkStart w:id="246" w:name="_Toc420056034"/>
      <w:r w:rsidRPr="00FE5FCD">
        <w:lastRenderedPageBreak/>
        <w:t>Varianty obchodního zajištění</w:t>
      </w:r>
      <w:bookmarkEnd w:id="245"/>
      <w:bookmarkEnd w:id="246"/>
    </w:p>
    <w:p w:rsidR="009E13DB" w:rsidRPr="0093170C" w:rsidRDefault="00E06238" w:rsidP="009E13DB">
      <w:pPr>
        <w:jc w:val="both"/>
        <w:rPr>
          <w:rFonts w:eastAsia="Calibri" w:cs="Times New Roman"/>
        </w:rPr>
      </w:pPr>
      <w:r>
        <w:rPr>
          <w:rFonts w:eastAsia="Calibri" w:cs="Times New Roman"/>
        </w:rPr>
        <w:t>S ohledem na</w:t>
      </w:r>
      <w:r w:rsidR="009E13DB" w:rsidRPr="0093170C">
        <w:rPr>
          <w:rFonts w:eastAsia="Calibri" w:cs="Times New Roman"/>
        </w:rPr>
        <w:t> </w:t>
      </w:r>
      <w:r w:rsidRPr="0093170C">
        <w:rPr>
          <w:rFonts w:eastAsia="Calibri" w:cs="Times New Roman"/>
        </w:rPr>
        <w:t>časov</w:t>
      </w:r>
      <w:r>
        <w:rPr>
          <w:rFonts w:eastAsia="Calibri" w:cs="Times New Roman"/>
        </w:rPr>
        <w:t>ou náročnost jednotlivých způsobů obchodního zaji</w:t>
      </w:r>
      <w:r w:rsidR="003B17BF">
        <w:rPr>
          <w:rFonts w:eastAsia="Calibri" w:cs="Times New Roman"/>
        </w:rPr>
        <w:t>š</w:t>
      </w:r>
      <w:r>
        <w:rPr>
          <w:rFonts w:eastAsia="Calibri" w:cs="Times New Roman"/>
        </w:rPr>
        <w:t>tění</w:t>
      </w:r>
      <w:r w:rsidR="009E13DB" w:rsidRPr="0093170C">
        <w:rPr>
          <w:rFonts w:eastAsia="Calibri" w:cs="Times New Roman"/>
        </w:rPr>
        <w:t xml:space="preserve"> a možnosti získat vyšší objem financování od dodavatele technologie</w:t>
      </w:r>
      <w:r>
        <w:rPr>
          <w:rFonts w:eastAsia="Calibri" w:cs="Times New Roman"/>
        </w:rPr>
        <w:t>, se</w:t>
      </w:r>
      <w:r w:rsidR="009E13DB" w:rsidRPr="0093170C">
        <w:rPr>
          <w:rFonts w:eastAsia="Calibri" w:cs="Times New Roman"/>
        </w:rPr>
        <w:t xml:space="preserve"> </w:t>
      </w:r>
      <w:r w:rsidR="009E13DB">
        <w:t xml:space="preserve">jeví jako vhodný výběr </w:t>
      </w:r>
      <w:r w:rsidR="009E13DB" w:rsidRPr="008E7A4B">
        <w:rPr>
          <w:b/>
        </w:rPr>
        <w:t>skrze strategického partnera</w:t>
      </w:r>
      <w:r w:rsidR="004E4B3F">
        <w:rPr>
          <w:b/>
        </w:rPr>
        <w:t>,</w:t>
      </w:r>
      <w:r w:rsidR="009E13DB">
        <w:rPr>
          <w:b/>
        </w:rPr>
        <w:t xml:space="preserve"> </w:t>
      </w:r>
      <w:r w:rsidR="009E13DB" w:rsidRPr="008E7A4B">
        <w:t xml:space="preserve">a to buď variantou výstavby na základě výjimky Evropské komise z režimu veřejných zakázek, nebo na základě </w:t>
      </w:r>
      <w:r w:rsidR="009E13DB">
        <w:t>mezistátní</w:t>
      </w:r>
      <w:r w:rsidR="009E13DB" w:rsidRPr="008E7A4B">
        <w:t xml:space="preserve"> smlouvy. </w:t>
      </w:r>
      <w:r w:rsidR="009E13DB">
        <w:t>Je k dořešení, jaký přesný postup dále aplikovat.</w:t>
      </w:r>
    </w:p>
    <w:p w:rsidR="004B10B9" w:rsidRDefault="009E13DB" w:rsidP="009E13DB">
      <w:pPr>
        <w:jc w:val="both"/>
        <w:rPr>
          <w:rFonts w:eastAsia="Calibri" w:cs="Times New Roman"/>
          <w:b/>
        </w:rPr>
      </w:pPr>
      <w:r>
        <w:t>V případě varianty přímého zapojení se státu do výstavby skrze státní společnost a s účastí strategického partnera není vyloučena účast stávajícího vlastníka a provozovatele jaderných zdrojů na projektu. Rizika související s aplikací modelu musí být dále analyzován</w:t>
      </w:r>
      <w:r w:rsidR="003925DC">
        <w:t>a</w:t>
      </w:r>
      <w:r>
        <w:t xml:space="preserve"> a v případě výběru této varianty pečlivě ošetřen</w:t>
      </w:r>
      <w:r w:rsidR="003925DC">
        <w:t>a</w:t>
      </w:r>
      <w:r>
        <w:t xml:space="preserve">. </w:t>
      </w:r>
      <w:r w:rsidRPr="0093170C">
        <w:rPr>
          <w:rFonts w:eastAsia="Calibri" w:cs="Times New Roman"/>
          <w:b/>
        </w:rPr>
        <w:t>Před rozhodnutím o způsobu zajištění je nutné dostatečně detailně právně analyzovat realizovatelnost v ČR.</w:t>
      </w:r>
    </w:p>
    <w:p w:rsidR="004B10B9" w:rsidRDefault="004B10B9">
      <w:pPr>
        <w:rPr>
          <w:rFonts w:eastAsia="Calibri" w:cs="Times New Roman"/>
          <w:b/>
        </w:rPr>
      </w:pPr>
      <w:r>
        <w:rPr>
          <w:rFonts w:eastAsia="Calibri" w:cs="Times New Roman"/>
          <w:b/>
        </w:rPr>
        <w:br w:type="page"/>
      </w:r>
    </w:p>
    <w:p w:rsidR="00726918" w:rsidRDefault="00726918" w:rsidP="004E4B3F">
      <w:pPr>
        <w:pStyle w:val="Nadpis2"/>
        <w:keepNext/>
        <w:ind w:left="578" w:hanging="578"/>
        <w:jc w:val="both"/>
      </w:pPr>
      <w:bookmarkStart w:id="247" w:name="_Toc420056035"/>
      <w:r w:rsidRPr="00726918">
        <w:lastRenderedPageBreak/>
        <w:t>Shrnutí doporučených kroků pro výstavbu nových jaderných zdrojů v</w:t>
      </w:r>
      <w:r w:rsidR="002918F0">
        <w:t> </w:t>
      </w:r>
      <w:r w:rsidRPr="00726918">
        <w:t>ČR</w:t>
      </w:r>
      <w:bookmarkEnd w:id="247"/>
    </w:p>
    <w:p w:rsidR="002918F0" w:rsidRPr="008159B4" w:rsidRDefault="00A9339D" w:rsidP="00E52399">
      <w:pPr>
        <w:pStyle w:val="Odstavecseseznamem"/>
        <w:numPr>
          <w:ilvl w:val="0"/>
          <w:numId w:val="112"/>
        </w:numPr>
        <w:spacing w:after="0"/>
        <w:jc w:val="both"/>
        <w:rPr>
          <w:b/>
        </w:rPr>
      </w:pPr>
      <w:r>
        <w:rPr>
          <w:b/>
        </w:rPr>
        <w:t>V</w:t>
      </w:r>
      <w:r w:rsidR="002918F0" w:rsidRPr="008159B4">
        <w:rPr>
          <w:b/>
        </w:rPr>
        <w:t xml:space="preserve">zhledem k tomu, že </w:t>
      </w:r>
      <w:r w:rsidR="00D82754">
        <w:rPr>
          <w:b/>
        </w:rPr>
        <w:t xml:space="preserve">některé </w:t>
      </w:r>
      <w:r w:rsidR="002918F0" w:rsidRPr="008159B4">
        <w:rPr>
          <w:b/>
        </w:rPr>
        <w:t>z variant investičního modelu vyžadují založení speciální společnosti (SPV), do níž budou vyvedena všechn</w:t>
      </w:r>
      <w:r w:rsidR="00D82754">
        <w:rPr>
          <w:b/>
        </w:rPr>
        <w:t>a</w:t>
      </w:r>
      <w:r w:rsidR="002918F0" w:rsidRPr="008159B4">
        <w:rPr>
          <w:b/>
        </w:rPr>
        <w:t xml:space="preserve"> relevantní aktiva pro dostavbu jaderných bloků na obou stávajících lokalitách, doporučuje se začít tento proces na úrovni společnosti ČEZ připravovat.</w:t>
      </w:r>
      <w:r w:rsidR="00876EF9">
        <w:rPr>
          <w:b/>
        </w:rPr>
        <w:t xml:space="preserve"> Zároveň je nutné zahájit přípravu na výběr EPC dodavatele v souladu s vybraným obchodním modelem.</w:t>
      </w:r>
    </w:p>
    <w:p w:rsidR="002918F0" w:rsidRPr="008159B4" w:rsidRDefault="00A9339D" w:rsidP="00E52399">
      <w:pPr>
        <w:pStyle w:val="Odstavecseseznamem"/>
        <w:numPr>
          <w:ilvl w:val="0"/>
          <w:numId w:val="112"/>
        </w:numPr>
        <w:spacing w:after="0"/>
        <w:ind w:hanging="357"/>
        <w:jc w:val="both"/>
        <w:rPr>
          <w:b/>
        </w:rPr>
      </w:pPr>
      <w:r>
        <w:rPr>
          <w:b/>
        </w:rPr>
        <w:t>Z</w:t>
      </w:r>
      <w:r w:rsidR="002918F0" w:rsidRPr="008159B4">
        <w:rPr>
          <w:b/>
        </w:rPr>
        <w:t>ároveň je klíčové, aby nedošlo k nevratným krokům uvnitř skupiny ČEZ, které by vedly k omezení lidských kapacit potřebný</w:t>
      </w:r>
      <w:r w:rsidR="002918F0">
        <w:rPr>
          <w:b/>
        </w:rPr>
        <w:t>ch pro realizaci tohoto NAP JE</w:t>
      </w:r>
      <w:r>
        <w:rPr>
          <w:b/>
        </w:rPr>
        <w:t>.</w:t>
      </w:r>
      <w:r w:rsidR="00911702">
        <w:rPr>
          <w:b/>
        </w:rPr>
        <w:t xml:space="preserve"> Dále je potřebné </w:t>
      </w:r>
      <w:r w:rsidR="00876EF9">
        <w:rPr>
          <w:b/>
        </w:rPr>
        <w:t>budování kompetencí projektového týmu.</w:t>
      </w:r>
    </w:p>
    <w:p w:rsidR="002918F0" w:rsidRPr="008159B4" w:rsidRDefault="00A9339D" w:rsidP="00E52399">
      <w:pPr>
        <w:pStyle w:val="Odstavecseseznamem"/>
        <w:numPr>
          <w:ilvl w:val="0"/>
          <w:numId w:val="112"/>
        </w:numPr>
        <w:spacing w:after="0"/>
        <w:ind w:hanging="357"/>
        <w:contextualSpacing w:val="0"/>
        <w:jc w:val="both"/>
        <w:rPr>
          <w:b/>
        </w:rPr>
      </w:pPr>
      <w:r>
        <w:rPr>
          <w:b/>
        </w:rPr>
        <w:t>Z</w:t>
      </w:r>
      <w:r w:rsidR="002918F0" w:rsidRPr="008159B4">
        <w:rPr>
          <w:b/>
        </w:rPr>
        <w:t>ahájení kontaktů se strategickými partnery pro výstavbu jaderného bloku v</w:t>
      </w:r>
      <w:r>
        <w:rPr>
          <w:b/>
        </w:rPr>
        <w:t> </w:t>
      </w:r>
      <w:r w:rsidR="002918F0" w:rsidRPr="008159B4">
        <w:rPr>
          <w:b/>
        </w:rPr>
        <w:t>ČR</w:t>
      </w:r>
      <w:r>
        <w:rPr>
          <w:b/>
        </w:rPr>
        <w:t>.</w:t>
      </w:r>
    </w:p>
    <w:p w:rsidR="002918F0" w:rsidRPr="008159B4" w:rsidRDefault="00A9339D" w:rsidP="00E52399">
      <w:pPr>
        <w:pStyle w:val="Odstavecseseznamem"/>
        <w:numPr>
          <w:ilvl w:val="0"/>
          <w:numId w:val="112"/>
        </w:numPr>
        <w:spacing w:after="0"/>
        <w:ind w:hanging="357"/>
        <w:contextualSpacing w:val="0"/>
        <w:jc w:val="both"/>
        <w:rPr>
          <w:b/>
        </w:rPr>
      </w:pPr>
      <w:r>
        <w:rPr>
          <w:b/>
        </w:rPr>
        <w:t>J</w:t>
      </w:r>
      <w:r w:rsidR="002918F0" w:rsidRPr="008159B4">
        <w:rPr>
          <w:b/>
        </w:rPr>
        <w:t>ednání s Evropskou komisí o způsobu výběru dodavatele, způsobu financování a zajištění návratnosti</w:t>
      </w:r>
      <w:r>
        <w:rPr>
          <w:b/>
        </w:rPr>
        <w:t>.</w:t>
      </w:r>
    </w:p>
    <w:p w:rsidR="002918F0" w:rsidRPr="00440AFA" w:rsidRDefault="00A9339D" w:rsidP="00E52399">
      <w:pPr>
        <w:pStyle w:val="Odstavecseseznamem"/>
        <w:numPr>
          <w:ilvl w:val="0"/>
          <w:numId w:val="112"/>
        </w:numPr>
        <w:spacing w:after="0"/>
        <w:ind w:hanging="357"/>
        <w:contextualSpacing w:val="0"/>
        <w:jc w:val="both"/>
        <w:rPr>
          <w:b/>
        </w:rPr>
      </w:pPr>
      <w:r>
        <w:rPr>
          <w:b/>
        </w:rPr>
        <w:t>O</w:t>
      </w:r>
      <w:r w:rsidR="002918F0" w:rsidRPr="00440AFA">
        <w:rPr>
          <w:b/>
        </w:rPr>
        <w:t>kamžité pokračování přípravy projektu ve variantě 2 bloků s následnou výstavbou 1 bloku (a s možností rozšíření na 2 bloky) v lokalitě Temelín</w:t>
      </w:r>
      <w:r>
        <w:rPr>
          <w:b/>
        </w:rPr>
        <w:t>.</w:t>
      </w:r>
    </w:p>
    <w:p w:rsidR="002918F0" w:rsidRPr="00440AFA" w:rsidRDefault="002918F0" w:rsidP="00E52399">
      <w:pPr>
        <w:pStyle w:val="Odstavecseseznamem"/>
        <w:numPr>
          <w:ilvl w:val="1"/>
          <w:numId w:val="112"/>
        </w:numPr>
        <w:spacing w:after="0"/>
        <w:ind w:hanging="357"/>
        <w:contextualSpacing w:val="0"/>
        <w:jc w:val="both"/>
      </w:pPr>
      <w:r w:rsidRPr="00440AFA">
        <w:t>SPV – příprava na vyčlenění, aby byl možný vstup partnera</w:t>
      </w:r>
      <w:r w:rsidR="00A9339D">
        <w:t>.</w:t>
      </w:r>
    </w:p>
    <w:p w:rsidR="002918F0" w:rsidRPr="00440AFA" w:rsidRDefault="002918F0" w:rsidP="00E52399">
      <w:pPr>
        <w:pStyle w:val="Odstavecseseznamem"/>
        <w:numPr>
          <w:ilvl w:val="1"/>
          <w:numId w:val="112"/>
        </w:numPr>
        <w:spacing w:after="0"/>
        <w:ind w:hanging="357"/>
        <w:contextualSpacing w:val="0"/>
        <w:jc w:val="both"/>
      </w:pPr>
      <w:r w:rsidRPr="00440AFA">
        <w:t>EIA – plnění podmínek</w:t>
      </w:r>
      <w:r w:rsidR="00A9339D">
        <w:t>.</w:t>
      </w:r>
    </w:p>
    <w:p w:rsidR="002918F0" w:rsidRPr="007574C5" w:rsidRDefault="00A9339D" w:rsidP="00E52399">
      <w:pPr>
        <w:pStyle w:val="Odstavecseseznamem"/>
        <w:numPr>
          <w:ilvl w:val="1"/>
          <w:numId w:val="112"/>
        </w:numPr>
        <w:spacing w:after="0"/>
        <w:ind w:hanging="357"/>
        <w:contextualSpacing w:val="0"/>
        <w:jc w:val="both"/>
      </w:pPr>
      <w:r>
        <w:t>P</w:t>
      </w:r>
      <w:r w:rsidR="002918F0" w:rsidRPr="00440AFA">
        <w:t xml:space="preserve">říprava </w:t>
      </w:r>
      <w:r w:rsidR="002918F0" w:rsidRPr="007574C5">
        <w:t>na výběr dodavatele – technické podklady</w:t>
      </w:r>
      <w:r>
        <w:t>.</w:t>
      </w:r>
    </w:p>
    <w:p w:rsidR="002918F0" w:rsidRPr="007574C5" w:rsidRDefault="00A9339D" w:rsidP="00E52399">
      <w:pPr>
        <w:pStyle w:val="Odstavecseseznamem"/>
        <w:numPr>
          <w:ilvl w:val="1"/>
          <w:numId w:val="112"/>
        </w:numPr>
        <w:spacing w:after="0"/>
        <w:ind w:hanging="357"/>
        <w:contextualSpacing w:val="0"/>
        <w:jc w:val="both"/>
      </w:pPr>
      <w:r>
        <w:t>Povolení k umístění - pro SPV.</w:t>
      </w:r>
    </w:p>
    <w:p w:rsidR="002918F0" w:rsidRDefault="00A9339D" w:rsidP="00E52399">
      <w:pPr>
        <w:pStyle w:val="Odstavecseseznamem"/>
        <w:numPr>
          <w:ilvl w:val="1"/>
          <w:numId w:val="112"/>
        </w:numPr>
        <w:spacing w:after="0"/>
        <w:ind w:hanging="357"/>
        <w:contextualSpacing w:val="0"/>
        <w:jc w:val="both"/>
      </w:pPr>
      <w:r>
        <w:t>P</w:t>
      </w:r>
      <w:r w:rsidR="002918F0" w:rsidRPr="007574C5">
        <w:t>okračování přípravy lokality na výstavbu NJZ</w:t>
      </w:r>
      <w:r>
        <w:t>.</w:t>
      </w:r>
    </w:p>
    <w:p w:rsidR="00876EF9" w:rsidRDefault="00876EF9" w:rsidP="00E52399">
      <w:pPr>
        <w:pStyle w:val="Odstavecseseznamem"/>
        <w:numPr>
          <w:ilvl w:val="1"/>
          <w:numId w:val="112"/>
        </w:numPr>
        <w:spacing w:after="0"/>
        <w:ind w:hanging="357"/>
        <w:contextualSpacing w:val="0"/>
        <w:jc w:val="both"/>
      </w:pPr>
      <w:r w:rsidRPr="0004790B">
        <w:t>Pokračování výkupů potřebných pozemků</w:t>
      </w:r>
      <w:r>
        <w:t>.</w:t>
      </w:r>
    </w:p>
    <w:p w:rsidR="00876EF9" w:rsidRDefault="00876EF9" w:rsidP="00E52399">
      <w:pPr>
        <w:pStyle w:val="Odstavecseseznamem"/>
        <w:numPr>
          <w:ilvl w:val="1"/>
          <w:numId w:val="112"/>
        </w:numPr>
        <w:spacing w:after="0"/>
        <w:ind w:hanging="357"/>
        <w:contextualSpacing w:val="0"/>
        <w:jc w:val="both"/>
      </w:pPr>
      <w:r w:rsidRPr="0004790B">
        <w:t>Pokračování činností směřujících k zajištění potřebných povolení</w:t>
      </w:r>
      <w:r>
        <w:t>.</w:t>
      </w:r>
    </w:p>
    <w:p w:rsidR="00876EF9" w:rsidRPr="007574C5" w:rsidRDefault="00876EF9" w:rsidP="00E52399">
      <w:pPr>
        <w:pStyle w:val="Odstavecseseznamem"/>
        <w:numPr>
          <w:ilvl w:val="1"/>
          <w:numId w:val="112"/>
        </w:numPr>
        <w:spacing w:after="0"/>
        <w:ind w:hanging="357"/>
        <w:contextualSpacing w:val="0"/>
        <w:jc w:val="both"/>
      </w:pPr>
      <w:r w:rsidRPr="0004790B">
        <w:t>Příprava</w:t>
      </w:r>
      <w:r>
        <w:t xml:space="preserve"> a kalkulace</w:t>
      </w:r>
      <w:r w:rsidRPr="0004790B">
        <w:t xml:space="preserve"> souvisejících a vyvolaných investic (realizace po rozhodnutí o</w:t>
      </w:r>
      <w:r>
        <w:t> </w:t>
      </w:r>
      <w:r w:rsidRPr="0004790B">
        <w:t>modelu investorského a obchodního zajištění</w:t>
      </w:r>
      <w:r>
        <w:t>).</w:t>
      </w:r>
    </w:p>
    <w:p w:rsidR="002918F0" w:rsidRPr="007574C5" w:rsidRDefault="00A9339D" w:rsidP="00E52399">
      <w:pPr>
        <w:pStyle w:val="Odstavecseseznamem"/>
        <w:numPr>
          <w:ilvl w:val="0"/>
          <w:numId w:val="112"/>
        </w:numPr>
        <w:spacing w:after="0"/>
        <w:contextualSpacing w:val="0"/>
        <w:jc w:val="both"/>
        <w:rPr>
          <w:b/>
        </w:rPr>
      </w:pPr>
      <w:r>
        <w:rPr>
          <w:b/>
        </w:rPr>
        <w:t>O</w:t>
      </w:r>
      <w:r w:rsidR="002918F0" w:rsidRPr="007574C5">
        <w:rPr>
          <w:b/>
        </w:rPr>
        <w:t>kamžité pokračování přípravy projektu ve variantě 2 bloků s následnou výstavbou 1 bloku (a s možností rozšíření na 2 bloky) v lokalitě Dukovany</w:t>
      </w:r>
      <w:r>
        <w:rPr>
          <w:b/>
        </w:rPr>
        <w:t>.</w:t>
      </w:r>
    </w:p>
    <w:p w:rsidR="002918F0" w:rsidRPr="007574C5" w:rsidRDefault="002918F0" w:rsidP="00E52399">
      <w:pPr>
        <w:pStyle w:val="Odstavecseseznamem"/>
        <w:numPr>
          <w:ilvl w:val="1"/>
          <w:numId w:val="112"/>
        </w:numPr>
        <w:spacing w:after="0"/>
        <w:ind w:hanging="357"/>
        <w:contextualSpacing w:val="0"/>
        <w:jc w:val="both"/>
      </w:pPr>
      <w:r w:rsidRPr="007574C5">
        <w:t>SPV – příprava na vyčlenění, aby byl možný vstup partnera</w:t>
      </w:r>
      <w:r w:rsidR="00A9339D">
        <w:t>.</w:t>
      </w:r>
    </w:p>
    <w:p w:rsidR="002918F0" w:rsidRPr="007574C5" w:rsidRDefault="002918F0" w:rsidP="00E52399">
      <w:pPr>
        <w:pStyle w:val="Odstavecseseznamem"/>
        <w:numPr>
          <w:ilvl w:val="1"/>
          <w:numId w:val="112"/>
        </w:numPr>
        <w:spacing w:after="0"/>
        <w:ind w:hanging="357"/>
        <w:contextualSpacing w:val="0"/>
        <w:jc w:val="both"/>
      </w:pPr>
      <w:r w:rsidRPr="007574C5">
        <w:t>EIA – příprava podkladů a podání</w:t>
      </w:r>
      <w:r w:rsidR="00A9339D">
        <w:t>.</w:t>
      </w:r>
    </w:p>
    <w:p w:rsidR="002918F0" w:rsidRPr="007574C5" w:rsidRDefault="00A9339D" w:rsidP="00E52399">
      <w:pPr>
        <w:pStyle w:val="Odstavecseseznamem"/>
        <w:numPr>
          <w:ilvl w:val="1"/>
          <w:numId w:val="112"/>
        </w:numPr>
        <w:spacing w:after="0"/>
        <w:ind w:hanging="357"/>
        <w:contextualSpacing w:val="0"/>
        <w:jc w:val="both"/>
      </w:pPr>
      <w:r>
        <w:t>P</w:t>
      </w:r>
      <w:r w:rsidR="002918F0" w:rsidRPr="007574C5">
        <w:t>říprava na výběr dodavatele – technické podklady</w:t>
      </w:r>
      <w:r>
        <w:t>.</w:t>
      </w:r>
    </w:p>
    <w:p w:rsidR="002918F0" w:rsidRPr="007574C5" w:rsidRDefault="00A9339D" w:rsidP="00E52399">
      <w:pPr>
        <w:pStyle w:val="Odstavecseseznamem"/>
        <w:numPr>
          <w:ilvl w:val="1"/>
          <w:numId w:val="112"/>
        </w:numPr>
        <w:spacing w:after="0"/>
        <w:ind w:hanging="357"/>
        <w:contextualSpacing w:val="0"/>
        <w:jc w:val="both"/>
      </w:pPr>
      <w:r>
        <w:t>P</w:t>
      </w:r>
      <w:r w:rsidR="002918F0" w:rsidRPr="007574C5">
        <w:t>ovolení k umístění - pro SPV</w:t>
      </w:r>
      <w:r>
        <w:t>.</w:t>
      </w:r>
    </w:p>
    <w:p w:rsidR="002918F0" w:rsidRDefault="00A9339D" w:rsidP="00E52399">
      <w:pPr>
        <w:pStyle w:val="Odstavecseseznamem"/>
        <w:numPr>
          <w:ilvl w:val="1"/>
          <w:numId w:val="112"/>
        </w:numPr>
        <w:spacing w:after="0"/>
        <w:ind w:hanging="357"/>
        <w:contextualSpacing w:val="0"/>
        <w:jc w:val="both"/>
      </w:pPr>
      <w:r>
        <w:t>P</w:t>
      </w:r>
      <w:r w:rsidR="002918F0" w:rsidRPr="007574C5">
        <w:t>okračování přípravy lokality na výstavbu NJZ</w:t>
      </w:r>
      <w:r>
        <w:t>.</w:t>
      </w:r>
    </w:p>
    <w:p w:rsidR="00876EF9" w:rsidRDefault="00876EF9" w:rsidP="00E52399">
      <w:pPr>
        <w:pStyle w:val="Odstavecseseznamem"/>
        <w:numPr>
          <w:ilvl w:val="1"/>
          <w:numId w:val="112"/>
        </w:numPr>
        <w:spacing w:after="0"/>
        <w:ind w:hanging="357"/>
        <w:contextualSpacing w:val="0"/>
        <w:jc w:val="both"/>
      </w:pPr>
      <w:r w:rsidRPr="0004790B">
        <w:t>Pokračování výkupů potřebných pozemků</w:t>
      </w:r>
      <w:r>
        <w:t>.</w:t>
      </w:r>
    </w:p>
    <w:p w:rsidR="00876EF9" w:rsidRDefault="00876EF9" w:rsidP="00E52399">
      <w:pPr>
        <w:pStyle w:val="Odstavecseseznamem"/>
        <w:numPr>
          <w:ilvl w:val="1"/>
          <w:numId w:val="112"/>
        </w:numPr>
        <w:spacing w:after="0"/>
        <w:ind w:hanging="357"/>
        <w:contextualSpacing w:val="0"/>
        <w:jc w:val="both"/>
      </w:pPr>
      <w:r w:rsidRPr="0004790B">
        <w:t>Pokračování činností směřujících k zajištění potřebných povolení</w:t>
      </w:r>
      <w:r>
        <w:t>.</w:t>
      </w:r>
    </w:p>
    <w:p w:rsidR="00876EF9" w:rsidRPr="007574C5" w:rsidRDefault="00876EF9" w:rsidP="00E52399">
      <w:pPr>
        <w:pStyle w:val="Odstavecseseznamem"/>
        <w:numPr>
          <w:ilvl w:val="1"/>
          <w:numId w:val="112"/>
        </w:numPr>
        <w:spacing w:after="0"/>
        <w:ind w:hanging="357"/>
        <w:contextualSpacing w:val="0"/>
        <w:jc w:val="both"/>
      </w:pPr>
      <w:r w:rsidRPr="0004790B">
        <w:t>Příprava</w:t>
      </w:r>
      <w:r>
        <w:t xml:space="preserve"> a kalkulace</w:t>
      </w:r>
      <w:r w:rsidRPr="0004790B">
        <w:t xml:space="preserve"> souvisejících a vyvolaných investic (realizace po rozhodnutí o</w:t>
      </w:r>
      <w:r>
        <w:t> </w:t>
      </w:r>
      <w:r w:rsidRPr="0004790B">
        <w:t>modelu investorského a obchodního zajištění</w:t>
      </w:r>
      <w:r>
        <w:t>).</w:t>
      </w:r>
    </w:p>
    <w:p w:rsidR="002918F0" w:rsidRPr="00AA5D24" w:rsidRDefault="002918F0" w:rsidP="00E52399">
      <w:pPr>
        <w:pStyle w:val="Odstavecseseznamem"/>
        <w:numPr>
          <w:ilvl w:val="0"/>
          <w:numId w:val="112"/>
        </w:numPr>
        <w:spacing w:after="0"/>
        <w:contextualSpacing w:val="0"/>
        <w:jc w:val="both"/>
        <w:rPr>
          <w:b/>
        </w:rPr>
      </w:pPr>
      <w:r w:rsidRPr="007574C5">
        <w:rPr>
          <w:b/>
        </w:rPr>
        <w:t xml:space="preserve">Zahájení přípravy legislativních úprav </w:t>
      </w:r>
      <w:r w:rsidRPr="007574C5">
        <w:rPr>
          <w:b/>
          <w:szCs w:val="20"/>
        </w:rPr>
        <w:t>s cílem zjednodušit povolovací a licenční proces a</w:t>
      </w:r>
      <w:r w:rsidR="00A9339D">
        <w:rPr>
          <w:b/>
          <w:szCs w:val="20"/>
        </w:rPr>
        <w:t> </w:t>
      </w:r>
      <w:r w:rsidRPr="007574C5">
        <w:rPr>
          <w:b/>
          <w:szCs w:val="20"/>
        </w:rPr>
        <w:t>minimalizovat s ním spojená rizika dopadů do termínů a nákladů</w:t>
      </w:r>
      <w:r w:rsidR="00A9339D">
        <w:rPr>
          <w:b/>
          <w:szCs w:val="20"/>
        </w:rPr>
        <w:t>.</w:t>
      </w:r>
    </w:p>
    <w:p w:rsidR="004B10B9" w:rsidRDefault="00AA5D24" w:rsidP="00AA5D24">
      <w:pPr>
        <w:pStyle w:val="Odstavecseseznamem"/>
        <w:numPr>
          <w:ilvl w:val="0"/>
          <w:numId w:val="112"/>
        </w:numPr>
        <w:spacing w:after="360"/>
        <w:contextualSpacing w:val="0"/>
        <w:jc w:val="both"/>
        <w:rPr>
          <w:b/>
        </w:rPr>
      </w:pPr>
      <w:r>
        <w:rPr>
          <w:b/>
        </w:rPr>
        <w:t xml:space="preserve">Nejpozději před vydáním stavebního povolení zhodnotit, </w:t>
      </w:r>
      <w:r w:rsidRPr="00A612ED">
        <w:rPr>
          <w:b/>
        </w:rPr>
        <w:t>zda přetrvává potřeba výstavby nového jaderného zdroje a zda</w:t>
      </w:r>
      <w:r>
        <w:rPr>
          <w:b/>
        </w:rPr>
        <w:t xml:space="preserve"> došlo ke stabilizaci tržní situace, což by umožnilo provést výstavbu na komerční bázi, tedy bez potřeby státních garancí.</w:t>
      </w:r>
    </w:p>
    <w:p w:rsidR="004B10B9" w:rsidRDefault="004B10B9">
      <w:pPr>
        <w:rPr>
          <w:b/>
        </w:rPr>
      </w:pPr>
      <w:r>
        <w:rPr>
          <w:b/>
        </w:rPr>
        <w:br w:type="page"/>
      </w:r>
    </w:p>
    <w:p w:rsidR="006677BF" w:rsidRDefault="001707FC" w:rsidP="006677BF">
      <w:pPr>
        <w:pStyle w:val="Nadpis1"/>
      </w:pPr>
      <w:bookmarkStart w:id="248" w:name="_Toc420056036"/>
      <w:r w:rsidRPr="000064B2">
        <w:lastRenderedPageBreak/>
        <w:t>Kritické předpoklady</w:t>
      </w:r>
      <w:r w:rsidR="008F03A4">
        <w:t xml:space="preserve"> pro </w:t>
      </w:r>
      <w:r w:rsidR="00BC0F0E">
        <w:t>dosažení cílů rozvoje jaderné energetiky</w:t>
      </w:r>
      <w:bookmarkEnd w:id="197"/>
      <w:bookmarkEnd w:id="248"/>
    </w:p>
    <w:p w:rsidR="00024291" w:rsidRDefault="00024291" w:rsidP="00024291">
      <w:pPr>
        <w:jc w:val="both"/>
      </w:pPr>
      <w:r>
        <w:t xml:space="preserve">Kritickým </w:t>
      </w:r>
      <w:r w:rsidR="00C33659">
        <w:t>pro do</w:t>
      </w:r>
      <w:r w:rsidR="0023231E">
        <w:t>s</w:t>
      </w:r>
      <w:r w:rsidR="00C33659">
        <w:t>ažení cílů rozvoje jaderné energetiky uvedených v SEK a kapitole 1 tohoto dokumentu</w:t>
      </w:r>
      <w:r w:rsidR="003925DC">
        <w:t xml:space="preserve"> je/jsou</w:t>
      </w:r>
      <w:r>
        <w:t>:</w:t>
      </w:r>
    </w:p>
    <w:p w:rsidR="00024291" w:rsidRDefault="008B5E07" w:rsidP="0044189F">
      <w:pPr>
        <w:numPr>
          <w:ilvl w:val="0"/>
          <w:numId w:val="49"/>
        </w:numPr>
        <w:spacing w:after="0"/>
        <w:ind w:left="714" w:hanging="357"/>
        <w:jc w:val="both"/>
      </w:pPr>
      <w:r>
        <w:t>P</w:t>
      </w:r>
      <w:r w:rsidR="00024291">
        <w:t>olitická podpora strategie a konse</w:t>
      </w:r>
      <w:r>
        <w:t>nsus napříč politickým spektrem.</w:t>
      </w:r>
    </w:p>
    <w:p w:rsidR="00024291" w:rsidRDefault="008B5E07" w:rsidP="0044189F">
      <w:pPr>
        <w:numPr>
          <w:ilvl w:val="0"/>
          <w:numId w:val="49"/>
        </w:numPr>
        <w:spacing w:after="0"/>
        <w:ind w:left="714" w:hanging="357"/>
        <w:jc w:val="both"/>
      </w:pPr>
      <w:r>
        <w:t>F</w:t>
      </w:r>
      <w:r w:rsidR="00024291">
        <w:t xml:space="preserve">inancování </w:t>
      </w:r>
      <w:r w:rsidR="008111D6">
        <w:t xml:space="preserve">a zajištění návratnosti </w:t>
      </w:r>
      <w:r>
        <w:t>nového jaderného zdroje.</w:t>
      </w:r>
    </w:p>
    <w:p w:rsidR="00193A09" w:rsidRDefault="00193A09" w:rsidP="00193A09">
      <w:pPr>
        <w:numPr>
          <w:ilvl w:val="0"/>
          <w:numId w:val="49"/>
        </w:numPr>
        <w:spacing w:after="0"/>
        <w:ind w:left="714" w:hanging="357"/>
        <w:jc w:val="both"/>
      </w:pPr>
      <w:r w:rsidRPr="008B5E07">
        <w:t>Vývoj spotřeby elektřiny a prognóza tohoto vývoj</w:t>
      </w:r>
      <w:r>
        <w:t>e.</w:t>
      </w:r>
    </w:p>
    <w:p w:rsidR="0022332F" w:rsidRDefault="008B5E07" w:rsidP="0044189F">
      <w:pPr>
        <w:numPr>
          <w:ilvl w:val="0"/>
          <w:numId w:val="49"/>
        </w:numPr>
        <w:spacing w:after="0"/>
        <w:ind w:left="714" w:hanging="357"/>
        <w:jc w:val="both"/>
      </w:pPr>
      <w:r>
        <w:t>V</w:t>
      </w:r>
      <w:r w:rsidR="0022332F">
        <w:t>eřejná akceptace jaderné energetiky</w:t>
      </w:r>
      <w:r>
        <w:t>.</w:t>
      </w:r>
    </w:p>
    <w:p w:rsidR="00024291" w:rsidRDefault="008B5E07" w:rsidP="0044189F">
      <w:pPr>
        <w:numPr>
          <w:ilvl w:val="0"/>
          <w:numId w:val="49"/>
        </w:numPr>
        <w:spacing w:after="0"/>
        <w:ind w:left="714" w:hanging="357"/>
        <w:jc w:val="both"/>
      </w:pPr>
      <w:r>
        <w:t>S</w:t>
      </w:r>
      <w:r w:rsidR="00024291">
        <w:t xml:space="preserve">chopnost dodržení </w:t>
      </w:r>
      <w:r w:rsidR="00301378">
        <w:t>akčního plánu</w:t>
      </w:r>
      <w:r w:rsidR="00024291">
        <w:t xml:space="preserve"> a </w:t>
      </w:r>
      <w:r w:rsidR="00301378">
        <w:t xml:space="preserve">schopnost </w:t>
      </w:r>
      <w:r w:rsidR="00024291">
        <w:t>přijmout rozhodnutí o strategickém partner</w:t>
      </w:r>
      <w:r w:rsidR="003925DC">
        <w:t>u</w:t>
      </w:r>
      <w:r w:rsidR="00024291">
        <w:t xml:space="preserve"> pro případnou výstavbu</w:t>
      </w:r>
      <w:r>
        <w:t xml:space="preserve"> nového jaderného zdroje.</w:t>
      </w:r>
    </w:p>
    <w:p w:rsidR="00024291" w:rsidRPr="00EB7778" w:rsidRDefault="008B5E07" w:rsidP="0044189F">
      <w:pPr>
        <w:numPr>
          <w:ilvl w:val="0"/>
          <w:numId w:val="49"/>
        </w:numPr>
        <w:spacing w:after="0"/>
        <w:ind w:left="714" w:hanging="357"/>
        <w:jc w:val="both"/>
        <w:rPr>
          <w:b/>
        </w:rPr>
      </w:pPr>
      <w:r>
        <w:t>Z</w:t>
      </w:r>
      <w:r w:rsidR="00DD0FC7" w:rsidRPr="00AF1230">
        <w:t>realizování</w:t>
      </w:r>
      <w:r w:rsidR="00024291" w:rsidRPr="00AF1230">
        <w:t xml:space="preserve"> výstavby nového jaderného zdroje</w:t>
      </w:r>
      <w:r w:rsidR="00024291" w:rsidRPr="00EB7778">
        <w:rPr>
          <w:b/>
        </w:rPr>
        <w:t xml:space="preserve"> </w:t>
      </w:r>
      <w:r w:rsidR="00024291" w:rsidRPr="00EB7778">
        <w:t>(je samo o sobě kritickým místem</w:t>
      </w:r>
      <w:r w:rsidR="00024291">
        <w:t xml:space="preserve"> z důvodu zajištění možnosti zachování know-how</w:t>
      </w:r>
      <w:r w:rsidR="00AF1230">
        <w:t>,</w:t>
      </w:r>
      <w:r w:rsidR="00024291">
        <w:t xml:space="preserve"> tzn. zjednodušeně řečeno</w:t>
      </w:r>
      <w:r w:rsidR="00AF1230">
        <w:t>,</w:t>
      </w:r>
      <w:r w:rsidR="00024291">
        <w:t xml:space="preserve"> budeme</w:t>
      </w:r>
      <w:r w:rsidR="00AF1230">
        <w:t>-</w:t>
      </w:r>
      <w:r w:rsidR="00024291">
        <w:t>li stavět, je vytvořen předpoklad pro udržitelnou jadernou energii, nebudeme-li stavět, význam spojení „udržitelná jaderná energie“ přestane dávat smysl ve spojení s českým dodavatelským průmyslem</w:t>
      </w:r>
      <w:r w:rsidR="00AF1230">
        <w:t>,</w:t>
      </w:r>
      <w:r w:rsidR="00024291">
        <w:t xml:space="preserve"> a pro případné provozování jakéhokoliv typu bloku bude zapotřebí velké kooperace s dodavatelem technologie a zahraničními dodava</w:t>
      </w:r>
      <w:r>
        <w:t>teli jak takovými).</w:t>
      </w:r>
    </w:p>
    <w:p w:rsidR="00024291" w:rsidRPr="00EB7778" w:rsidRDefault="008B5E07" w:rsidP="0044189F">
      <w:pPr>
        <w:numPr>
          <w:ilvl w:val="0"/>
          <w:numId w:val="49"/>
        </w:numPr>
        <w:spacing w:after="0"/>
        <w:ind w:left="714" w:hanging="357"/>
        <w:jc w:val="both"/>
        <w:rPr>
          <w:i/>
        </w:rPr>
      </w:pPr>
      <w:r>
        <w:t>K</w:t>
      </w:r>
      <w:r w:rsidR="00024291" w:rsidRPr="00EB7778">
        <w:t xml:space="preserve">ontrola dodržení </w:t>
      </w:r>
      <w:r w:rsidR="00301378">
        <w:t>akčního plánu</w:t>
      </w:r>
      <w:r w:rsidR="00024291" w:rsidRPr="00EB7778">
        <w:t xml:space="preserve"> a posunutí dodržení </w:t>
      </w:r>
      <w:r w:rsidR="00301378">
        <w:t>akčního plánu</w:t>
      </w:r>
      <w:r>
        <w:t xml:space="preserve"> skutečně na vládní úroveň.</w:t>
      </w:r>
    </w:p>
    <w:p w:rsidR="00ED1EB6" w:rsidRDefault="008B5E07" w:rsidP="0044189F">
      <w:pPr>
        <w:numPr>
          <w:ilvl w:val="0"/>
          <w:numId w:val="49"/>
        </w:numPr>
        <w:spacing w:after="0"/>
        <w:ind w:left="714" w:hanging="357"/>
        <w:jc w:val="both"/>
      </w:pPr>
      <w:r>
        <w:t>Z</w:t>
      </w:r>
      <w:r w:rsidR="00024291">
        <w:t xml:space="preserve">ajištění dodávek </w:t>
      </w:r>
      <w:r w:rsidR="00DD0FC7">
        <w:t>významného podílu českých firem na výstavbě (za předpokladu dosažení požadavků na kvalitu, bezpečnost a technickou a ekonomickou konkurenceschopnost).</w:t>
      </w:r>
    </w:p>
    <w:p w:rsidR="00ED1EB6" w:rsidRDefault="001707FC" w:rsidP="0044189F">
      <w:pPr>
        <w:numPr>
          <w:ilvl w:val="0"/>
          <w:numId w:val="49"/>
        </w:numPr>
        <w:spacing w:after="0"/>
        <w:ind w:left="714" w:hanging="357"/>
        <w:jc w:val="both"/>
      </w:pPr>
      <w:r w:rsidRPr="00ED1EB6">
        <w:t xml:space="preserve">Udržení a obnova znalostní základny (dodávky komponent, provozní znalosti, </w:t>
      </w:r>
      <w:r w:rsidR="008F03A4" w:rsidRPr="00ED1EB6">
        <w:t>participace na jaderném výzkumu</w:t>
      </w:r>
      <w:r w:rsidRPr="00ED1EB6">
        <w:t>)</w:t>
      </w:r>
      <w:r w:rsidR="008B5E07">
        <w:t>.</w:t>
      </w:r>
    </w:p>
    <w:p w:rsidR="00ED1EB6" w:rsidRDefault="008F03A4" w:rsidP="0044189F">
      <w:pPr>
        <w:numPr>
          <w:ilvl w:val="0"/>
          <w:numId w:val="49"/>
        </w:numPr>
        <w:spacing w:after="0"/>
        <w:ind w:left="714" w:hanging="357"/>
        <w:jc w:val="both"/>
      </w:pPr>
      <w:r w:rsidRPr="00ED1EB6">
        <w:t xml:space="preserve">Koncentrované </w:t>
      </w:r>
      <w:r w:rsidR="001707FC" w:rsidRPr="00ED1EB6">
        <w:t>a systematické úsilí státu v rozvoji jaderné energetiky (koor</w:t>
      </w:r>
      <w:r w:rsidR="008B5E07">
        <w:t>dinace, legislativní podmínky, atd.</w:t>
      </w:r>
      <w:r w:rsidR="001707FC" w:rsidRPr="00ED1EB6">
        <w:t>)</w:t>
      </w:r>
      <w:r w:rsidR="008B5E07">
        <w:t>.</w:t>
      </w:r>
    </w:p>
    <w:p w:rsidR="004B10B9" w:rsidRDefault="001707FC" w:rsidP="0044189F">
      <w:pPr>
        <w:numPr>
          <w:ilvl w:val="0"/>
          <w:numId w:val="49"/>
        </w:numPr>
        <w:spacing w:after="360"/>
        <w:ind w:left="714" w:hanging="357"/>
        <w:jc w:val="both"/>
      </w:pPr>
      <w:r w:rsidRPr="00ED1EB6">
        <w:t xml:space="preserve">Udržení </w:t>
      </w:r>
      <w:r w:rsidR="00E21156">
        <w:t>a obnova l</w:t>
      </w:r>
      <w:r w:rsidR="00D0402D" w:rsidRPr="00ED1EB6">
        <w:t>idských zdrojů</w:t>
      </w:r>
      <w:r w:rsidRPr="00ED1EB6">
        <w:t xml:space="preserve"> (kvalita i kvantita)</w:t>
      </w:r>
      <w:r w:rsidR="00D82754">
        <w:t>.</w:t>
      </w:r>
    </w:p>
    <w:p w:rsidR="004B10B9" w:rsidRDefault="004B10B9">
      <w:r>
        <w:br w:type="page"/>
      </w:r>
    </w:p>
    <w:p w:rsidR="006677BF" w:rsidRDefault="00403E3C" w:rsidP="006677BF">
      <w:pPr>
        <w:pStyle w:val="Nadpis1"/>
      </w:pPr>
      <w:bookmarkStart w:id="249" w:name="_Toc407035581"/>
      <w:bookmarkStart w:id="250" w:name="_Toc420056037"/>
      <w:r w:rsidRPr="000064B2">
        <w:lastRenderedPageBreak/>
        <w:t>Priority</w:t>
      </w:r>
      <w:r w:rsidR="00C56A7A">
        <w:t xml:space="preserve"> rozvoje JE, opatření v jednotlivých oblastech</w:t>
      </w:r>
      <w:bookmarkEnd w:id="249"/>
      <w:bookmarkEnd w:id="250"/>
    </w:p>
    <w:p w:rsidR="00D547E0" w:rsidRDefault="00D547E0" w:rsidP="00F433A0">
      <w:pPr>
        <w:pStyle w:val="Nadpis2"/>
      </w:pPr>
      <w:bookmarkStart w:id="251" w:name="_Toc407035582"/>
      <w:bookmarkStart w:id="252" w:name="_Toc420056038"/>
      <w:r>
        <w:t>Zajištění jaderné bezpečnosti</w:t>
      </w:r>
      <w:bookmarkEnd w:id="251"/>
      <w:bookmarkEnd w:id="252"/>
    </w:p>
    <w:p w:rsidR="00D547E0" w:rsidRPr="00D547E0" w:rsidRDefault="00AB482D" w:rsidP="002E4520">
      <w:r>
        <w:t xml:space="preserve">Jak bylo uvedeno v kapitole 3, je zajištění jaderné bezpečnosti nejvyšší prioritou sektoru jaderné energetiky. </w:t>
      </w:r>
    </w:p>
    <w:p w:rsidR="00D547E0" w:rsidRPr="00265139" w:rsidRDefault="00556904" w:rsidP="00D547E0">
      <w:pPr>
        <w:pStyle w:val="Nadpis3"/>
      </w:pPr>
      <w:bookmarkStart w:id="253" w:name="_Toc407035583"/>
      <w:bookmarkStart w:id="254" w:name="_Toc420056039"/>
      <w:r>
        <w:t xml:space="preserve">Opatření </w:t>
      </w:r>
      <w:r w:rsidR="00D547E0" w:rsidRPr="00265139">
        <w:t>pro posílení jaderné bezpečnosti</w:t>
      </w:r>
      <w:bookmarkEnd w:id="253"/>
      <w:bookmarkEnd w:id="254"/>
    </w:p>
    <w:p w:rsidR="00D547E0" w:rsidRPr="009B0345" w:rsidRDefault="00210D08" w:rsidP="00A6405E">
      <w:pPr>
        <w:pStyle w:val="Odstavecseseznamem"/>
        <w:numPr>
          <w:ilvl w:val="0"/>
          <w:numId w:val="65"/>
        </w:numPr>
        <w:spacing w:after="120"/>
        <w:ind w:left="714" w:hanging="357"/>
        <w:contextualSpacing w:val="0"/>
        <w:jc w:val="both"/>
      </w:pPr>
      <w:r>
        <w:t xml:space="preserve">Kontinuálně podporovat </w:t>
      </w:r>
      <w:r w:rsidR="00D547E0">
        <w:t>roli SÚJB v oblasti jaderné energetiky tak</w:t>
      </w:r>
      <w:r w:rsidR="003925DC">
        <w:t>,</w:t>
      </w:r>
      <w:r w:rsidR="00D547E0">
        <w:t xml:space="preserve"> aby </w:t>
      </w:r>
      <w:r w:rsidR="00825739">
        <w:t xml:space="preserve">bylo i nadále zajištěno </w:t>
      </w:r>
      <w:r w:rsidR="00D547E0">
        <w:rPr>
          <w:rFonts w:ascii="Calibri" w:hAnsi="Calibri"/>
        </w:rPr>
        <w:t xml:space="preserve">dlouhodobé plnění doporučení </w:t>
      </w:r>
      <w:r w:rsidR="00D547E0" w:rsidRPr="00D30594">
        <w:rPr>
          <w:rFonts w:ascii="Calibri" w:hAnsi="Calibri"/>
        </w:rPr>
        <w:t>MAAE v oblasti jaderné bezpečnosti</w:t>
      </w:r>
      <w:r w:rsidR="00F93990">
        <w:rPr>
          <w:rFonts w:ascii="Calibri" w:hAnsi="Calibri"/>
        </w:rPr>
        <w:t>.</w:t>
      </w:r>
    </w:p>
    <w:p w:rsidR="00D547E0" w:rsidRPr="0086059C" w:rsidRDefault="00D547E0" w:rsidP="00A6405E">
      <w:pPr>
        <w:pStyle w:val="Odstavecseseznamem"/>
        <w:numPr>
          <w:ilvl w:val="1"/>
          <w:numId w:val="65"/>
        </w:numPr>
        <w:spacing w:before="120" w:after="0"/>
        <w:ind w:left="1434" w:hanging="357"/>
        <w:contextualSpacing w:val="0"/>
        <w:jc w:val="both"/>
      </w:pPr>
      <w:r w:rsidRPr="00F93990">
        <w:rPr>
          <w:u w:val="single"/>
        </w:rPr>
        <w:t>Zodpovídá:</w:t>
      </w:r>
      <w:r w:rsidRPr="0086059C">
        <w:t xml:space="preserve"> Vláda ČR</w:t>
      </w:r>
    </w:p>
    <w:p w:rsidR="00D547E0" w:rsidRPr="0086059C" w:rsidRDefault="00D547E0" w:rsidP="00A6405E">
      <w:pPr>
        <w:pStyle w:val="Odstavecseseznamem"/>
        <w:numPr>
          <w:ilvl w:val="1"/>
          <w:numId w:val="65"/>
        </w:numPr>
        <w:spacing w:after="120"/>
        <w:ind w:left="1434" w:hanging="357"/>
        <w:contextualSpacing w:val="0"/>
        <w:jc w:val="both"/>
      </w:pPr>
      <w:r w:rsidRPr="00F93990">
        <w:rPr>
          <w:u w:val="single"/>
        </w:rPr>
        <w:t>Termín:</w:t>
      </w:r>
      <w:r w:rsidRPr="0086059C">
        <w:t xml:space="preserve"> </w:t>
      </w:r>
      <w:r w:rsidR="00420D32">
        <w:t>průběžně</w:t>
      </w:r>
    </w:p>
    <w:p w:rsidR="00D547E0" w:rsidRPr="0086059C" w:rsidRDefault="00D547E0" w:rsidP="00A6405E">
      <w:pPr>
        <w:pStyle w:val="Odstavecseseznamem"/>
        <w:numPr>
          <w:ilvl w:val="0"/>
          <w:numId w:val="65"/>
        </w:numPr>
        <w:spacing w:after="120"/>
        <w:ind w:left="714" w:hanging="357"/>
        <w:contextualSpacing w:val="0"/>
        <w:jc w:val="both"/>
      </w:pPr>
      <w:r w:rsidRPr="0086059C">
        <w:t>Ve vazbě na výstavbu NJZ v ČR zapojit ČR do MDEP.</w:t>
      </w:r>
    </w:p>
    <w:p w:rsidR="00D547E0" w:rsidRPr="0086059C" w:rsidRDefault="00D547E0" w:rsidP="00A6405E">
      <w:pPr>
        <w:pStyle w:val="Odstavecseseznamem"/>
        <w:numPr>
          <w:ilvl w:val="1"/>
          <w:numId w:val="65"/>
        </w:numPr>
        <w:spacing w:before="120" w:after="0"/>
        <w:ind w:left="1434" w:hanging="357"/>
        <w:contextualSpacing w:val="0"/>
        <w:jc w:val="both"/>
      </w:pPr>
      <w:r w:rsidRPr="00F93990">
        <w:rPr>
          <w:u w:val="single"/>
        </w:rPr>
        <w:t>Zodpovídá:</w:t>
      </w:r>
      <w:r w:rsidRPr="0086059C">
        <w:t xml:space="preserve"> SÚJB</w:t>
      </w:r>
    </w:p>
    <w:p w:rsidR="00D547E0" w:rsidRPr="0086059C" w:rsidRDefault="00D547E0" w:rsidP="00A6405E">
      <w:pPr>
        <w:pStyle w:val="Odstavecseseznamem"/>
        <w:numPr>
          <w:ilvl w:val="1"/>
          <w:numId w:val="65"/>
        </w:numPr>
        <w:spacing w:after="120"/>
        <w:ind w:left="1434" w:hanging="357"/>
        <w:contextualSpacing w:val="0"/>
        <w:jc w:val="both"/>
      </w:pPr>
      <w:r w:rsidRPr="00F93990">
        <w:rPr>
          <w:u w:val="single"/>
        </w:rPr>
        <w:t>Termín:</w:t>
      </w:r>
      <w:r w:rsidR="00420D32">
        <w:t xml:space="preserve"> 31. 12. 2016</w:t>
      </w:r>
    </w:p>
    <w:p w:rsidR="00D547E0" w:rsidRPr="0086059C" w:rsidRDefault="00D547E0" w:rsidP="00591E2F">
      <w:pPr>
        <w:pStyle w:val="Odstavecseseznamem"/>
        <w:numPr>
          <w:ilvl w:val="0"/>
          <w:numId w:val="65"/>
        </w:numPr>
        <w:spacing w:after="120"/>
        <w:ind w:left="714" w:hanging="357"/>
        <w:contextualSpacing w:val="0"/>
        <w:jc w:val="both"/>
        <w:rPr>
          <w:rFonts w:ascii="Calibri" w:hAnsi="Calibri"/>
        </w:rPr>
      </w:pPr>
      <w:r w:rsidRPr="0086059C">
        <w:rPr>
          <w:rFonts w:ascii="Calibri" w:hAnsi="Calibri"/>
        </w:rPr>
        <w:t>Vytvořit podmínky pro zachování a další rozvoj potřebné domácí personální a znalostní infrastruktury pro zajištění jaderné bezpečnosti, a to u všech subjektů podílejících se na zajištění jaderné bezpečnosti.</w:t>
      </w:r>
    </w:p>
    <w:p w:rsidR="00D547E0" w:rsidRPr="0086059C" w:rsidRDefault="00D547E0" w:rsidP="00591E2F">
      <w:pPr>
        <w:pStyle w:val="Odstavecseseznamem"/>
        <w:numPr>
          <w:ilvl w:val="1"/>
          <w:numId w:val="65"/>
        </w:numPr>
        <w:spacing w:before="120" w:after="0"/>
        <w:ind w:left="1434" w:hanging="357"/>
        <w:contextualSpacing w:val="0"/>
        <w:jc w:val="both"/>
        <w:rPr>
          <w:rFonts w:ascii="Calibri" w:hAnsi="Calibri"/>
        </w:rPr>
      </w:pPr>
      <w:r w:rsidRPr="00F93990">
        <w:rPr>
          <w:rFonts w:ascii="Calibri" w:hAnsi="Calibri"/>
          <w:u w:val="single"/>
        </w:rPr>
        <w:t>Zodpovídá:</w:t>
      </w:r>
      <w:r w:rsidRPr="0086059C">
        <w:rPr>
          <w:rFonts w:ascii="Calibri" w:hAnsi="Calibri"/>
        </w:rPr>
        <w:t xml:space="preserve"> MPO/</w:t>
      </w:r>
      <w:r w:rsidR="00CD5A12">
        <w:rPr>
          <w:rFonts w:ascii="Calibri" w:hAnsi="Calibri"/>
        </w:rPr>
        <w:t>Skupina ČEZ</w:t>
      </w:r>
    </w:p>
    <w:p w:rsidR="00D547E0" w:rsidRPr="0086059C" w:rsidRDefault="00D547E0" w:rsidP="00591E2F">
      <w:pPr>
        <w:pStyle w:val="Odstavecseseznamem"/>
        <w:numPr>
          <w:ilvl w:val="1"/>
          <w:numId w:val="65"/>
        </w:numPr>
        <w:spacing w:after="120"/>
        <w:contextualSpacing w:val="0"/>
        <w:jc w:val="both"/>
        <w:rPr>
          <w:rFonts w:ascii="Calibri" w:hAnsi="Calibri"/>
        </w:rPr>
      </w:pPr>
      <w:r w:rsidRPr="00F93990">
        <w:rPr>
          <w:rFonts w:ascii="Calibri" w:hAnsi="Calibri"/>
          <w:u w:val="single"/>
        </w:rPr>
        <w:t>Termín:</w:t>
      </w:r>
      <w:r w:rsidR="00420D32">
        <w:rPr>
          <w:rFonts w:ascii="Calibri" w:hAnsi="Calibri"/>
        </w:rPr>
        <w:t xml:space="preserve"> průběžně</w:t>
      </w:r>
    </w:p>
    <w:p w:rsidR="00D547E0" w:rsidRPr="0086059C" w:rsidRDefault="00D547E0" w:rsidP="00591E2F">
      <w:pPr>
        <w:pStyle w:val="Odstavecseseznamem"/>
        <w:numPr>
          <w:ilvl w:val="0"/>
          <w:numId w:val="65"/>
        </w:numPr>
        <w:spacing w:after="120"/>
        <w:ind w:left="714" w:hanging="357"/>
        <w:contextualSpacing w:val="0"/>
        <w:jc w:val="both"/>
      </w:pPr>
      <w:r w:rsidRPr="0086059C">
        <w:t xml:space="preserve">Zajistit financování </w:t>
      </w:r>
      <w:r w:rsidR="00132969">
        <w:t xml:space="preserve">technické podpory a </w:t>
      </w:r>
      <w:r w:rsidRPr="0086059C">
        <w:t>výzkumu pro dozor, ať již přímo z rozpočtu SÚJB nebo formou jeho zahrnutí do podpory výzkumu v oblasti jaderné energetiky jako celku.</w:t>
      </w:r>
    </w:p>
    <w:p w:rsidR="00D547E0" w:rsidRPr="0086059C" w:rsidRDefault="00D547E0" w:rsidP="00591E2F">
      <w:pPr>
        <w:pStyle w:val="Odstavecseseznamem"/>
        <w:numPr>
          <w:ilvl w:val="1"/>
          <w:numId w:val="65"/>
        </w:numPr>
        <w:spacing w:before="120" w:after="0"/>
        <w:ind w:left="1434" w:hanging="357"/>
        <w:contextualSpacing w:val="0"/>
        <w:jc w:val="both"/>
      </w:pPr>
      <w:r w:rsidRPr="00F93990">
        <w:rPr>
          <w:u w:val="single"/>
        </w:rPr>
        <w:t>Zodpovídá:</w:t>
      </w:r>
      <w:r w:rsidRPr="0086059C">
        <w:t xml:space="preserve"> S</w:t>
      </w:r>
      <w:r w:rsidR="00A34C9E">
        <w:t>Ú</w:t>
      </w:r>
      <w:r w:rsidRPr="0086059C">
        <w:t>JB/TA ČR</w:t>
      </w:r>
    </w:p>
    <w:p w:rsidR="00D547E0" w:rsidRDefault="00D547E0" w:rsidP="00591E2F">
      <w:pPr>
        <w:pStyle w:val="Odstavecseseznamem"/>
        <w:numPr>
          <w:ilvl w:val="1"/>
          <w:numId w:val="65"/>
        </w:numPr>
        <w:spacing w:after="120"/>
        <w:ind w:left="1434" w:hanging="357"/>
        <w:contextualSpacing w:val="0"/>
        <w:jc w:val="both"/>
      </w:pPr>
      <w:r w:rsidRPr="00F93990">
        <w:rPr>
          <w:u w:val="single"/>
        </w:rPr>
        <w:t>Termín:</w:t>
      </w:r>
      <w:r w:rsidRPr="0086059C">
        <w:t xml:space="preserve"> </w:t>
      </w:r>
      <w:r w:rsidR="00420D32">
        <w:t>průběžně</w:t>
      </w:r>
    </w:p>
    <w:p w:rsidR="00F827ED" w:rsidRPr="004B10B9" w:rsidRDefault="00622590" w:rsidP="00591E2F">
      <w:pPr>
        <w:pStyle w:val="Odstavecseseznamem"/>
        <w:numPr>
          <w:ilvl w:val="0"/>
          <w:numId w:val="65"/>
        </w:numPr>
        <w:spacing w:after="120"/>
        <w:ind w:left="714" w:hanging="357"/>
        <w:contextualSpacing w:val="0"/>
        <w:jc w:val="both"/>
      </w:pPr>
      <w:r w:rsidRPr="004B10B9">
        <w:rPr>
          <w:bCs/>
        </w:rPr>
        <w:t>Připravit náležitosti k přistoupení České republiky k Vídeňské úmluvě</w:t>
      </w:r>
      <w:r w:rsidR="0003229A" w:rsidRPr="004B10B9">
        <w:t xml:space="preserve"> o občanskoprávní odpovědnosti za jaderné škody z roku 1997 </w:t>
      </w:r>
      <w:r w:rsidR="00683B9B" w:rsidRPr="004B10B9">
        <w:t>(VÚ 1997)</w:t>
      </w:r>
      <w:r w:rsidR="00C92705" w:rsidRPr="004B10B9">
        <w:t>, respektive VÚ 1997 společně s</w:t>
      </w:r>
      <w:r w:rsidR="0003229A" w:rsidRPr="004B10B9">
        <w:t> Úmluv</w:t>
      </w:r>
      <w:r w:rsidR="00683B9B" w:rsidRPr="004B10B9">
        <w:t>ou</w:t>
      </w:r>
      <w:r w:rsidR="0003229A" w:rsidRPr="004B10B9">
        <w:t xml:space="preserve"> o dodatkovém odškodnění jaderných škod z roku 1997</w:t>
      </w:r>
      <w:r w:rsidRPr="004B10B9">
        <w:t xml:space="preserve"> tak, aby Česká republika přistoupila k této úmluvě ke dni 1. ledna 2017.</w:t>
      </w:r>
    </w:p>
    <w:p w:rsidR="00F827ED" w:rsidRPr="0086059C" w:rsidRDefault="00C92705" w:rsidP="00591E2F">
      <w:pPr>
        <w:pStyle w:val="Odstavecseseznamem"/>
        <w:numPr>
          <w:ilvl w:val="1"/>
          <w:numId w:val="65"/>
        </w:numPr>
        <w:spacing w:before="120" w:after="0"/>
        <w:ind w:left="1434" w:hanging="357"/>
        <w:contextualSpacing w:val="0"/>
        <w:jc w:val="both"/>
      </w:pPr>
      <w:r w:rsidRPr="00F93990">
        <w:rPr>
          <w:u w:val="single"/>
        </w:rPr>
        <w:t>Zodpovídá:</w:t>
      </w:r>
      <w:r>
        <w:t xml:space="preserve"> MPO</w:t>
      </w:r>
    </w:p>
    <w:p w:rsidR="00F827ED" w:rsidRPr="0086059C" w:rsidRDefault="00F827ED" w:rsidP="00591E2F">
      <w:pPr>
        <w:pStyle w:val="Odstavecseseznamem"/>
        <w:numPr>
          <w:ilvl w:val="1"/>
          <w:numId w:val="65"/>
        </w:numPr>
        <w:spacing w:after="240"/>
        <w:ind w:left="1434" w:hanging="357"/>
        <w:contextualSpacing w:val="0"/>
        <w:jc w:val="both"/>
      </w:pPr>
      <w:r w:rsidRPr="00F93990">
        <w:rPr>
          <w:u w:val="single"/>
        </w:rPr>
        <w:t>Termín:</w:t>
      </w:r>
      <w:r w:rsidRPr="0086059C">
        <w:t xml:space="preserve"> </w:t>
      </w:r>
      <w:r w:rsidR="00C92705">
        <w:t>do 31. 12. 2016</w:t>
      </w:r>
    </w:p>
    <w:p w:rsidR="00556904" w:rsidRPr="0086059C" w:rsidRDefault="00556904" w:rsidP="0086059C">
      <w:pPr>
        <w:pStyle w:val="Nadpis2"/>
        <w:jc w:val="both"/>
      </w:pPr>
      <w:bookmarkStart w:id="255" w:name="_Toc407035584"/>
      <w:bookmarkStart w:id="256" w:name="_Toc420056040"/>
      <w:r w:rsidRPr="0086059C">
        <w:t>Role státu a organizace sektoru jaderné energetiky</w:t>
      </w:r>
      <w:bookmarkEnd w:id="255"/>
      <w:bookmarkEnd w:id="256"/>
    </w:p>
    <w:p w:rsidR="004B10B9" w:rsidRDefault="00BD09B8" w:rsidP="0086059C">
      <w:pPr>
        <w:ind w:left="576"/>
        <w:jc w:val="both"/>
      </w:pPr>
      <w:r w:rsidRPr="0086059C">
        <w:t>Aktivní r</w:t>
      </w:r>
      <w:r w:rsidR="006F7366" w:rsidRPr="0086059C">
        <w:t xml:space="preserve">ole státu </w:t>
      </w:r>
      <w:r w:rsidRPr="0086059C">
        <w:t>v oblasti definování cílů rozvoje jaderné energetiky a vytváření podmínek pro jejich naplňování je nezastupitelná. Aktivní role státu spočívá v celkové koordinaci organizace sektoru jaderné energetiky a vytvoření takového legislativního a ekonomického prostředí, které umožní dosažení cílů rozvoje jaderné energetiky.</w:t>
      </w:r>
    </w:p>
    <w:p w:rsidR="004B10B9" w:rsidRDefault="004B10B9">
      <w:r>
        <w:br w:type="page"/>
      </w:r>
    </w:p>
    <w:p w:rsidR="00AD66C9" w:rsidRPr="0086059C" w:rsidRDefault="0071389B" w:rsidP="0086059C">
      <w:pPr>
        <w:pStyle w:val="Nadpis3"/>
      </w:pPr>
      <w:bookmarkStart w:id="257" w:name="_Toc420056041"/>
      <w:r w:rsidRPr="0086059C">
        <w:lastRenderedPageBreak/>
        <w:t>Stabilizace ekonomického prostředí</w:t>
      </w:r>
      <w:bookmarkEnd w:id="257"/>
    </w:p>
    <w:p w:rsidR="0071389B" w:rsidRPr="0086059C" w:rsidRDefault="0071389B" w:rsidP="0086059C">
      <w:pPr>
        <w:jc w:val="both"/>
      </w:pPr>
      <w:r w:rsidRPr="0086059C">
        <w:t>Stávající stav energetického trhu nepodporuje výstavbu konvenčních zdrojů energie (zejména zdrojů s dlouhou životností, tj. jaderných). Umožnění výstavby jaderných zdrojů je v řadě okolních zemí realizováno prostřednictvím zaručení návratnosti pro investory. V závislosti na zvoleném invest</w:t>
      </w:r>
      <w:r w:rsidR="0086059C" w:rsidRPr="0086059C">
        <w:t>o</w:t>
      </w:r>
      <w:r w:rsidRPr="0086059C">
        <w:t>rském modelu je nezbytné aplikovat vhodný typ opatření pro ČR.</w:t>
      </w:r>
    </w:p>
    <w:p w:rsidR="00223F35" w:rsidRPr="0086059C" w:rsidRDefault="00223F35" w:rsidP="0086059C">
      <w:pPr>
        <w:pStyle w:val="Nadpis3"/>
      </w:pPr>
      <w:bookmarkStart w:id="258" w:name="_Toc420056042"/>
      <w:r w:rsidRPr="0086059C">
        <w:t>Rozvoj legislativy v oblasti povolovacích řízení</w:t>
      </w:r>
      <w:bookmarkEnd w:id="258"/>
    </w:p>
    <w:p w:rsidR="00922F51" w:rsidRPr="0086059C" w:rsidRDefault="00922F51" w:rsidP="003925DC">
      <w:pPr>
        <w:jc w:val="both"/>
      </w:pPr>
      <w:r w:rsidRPr="0086059C">
        <w:t xml:space="preserve">Stávající stav </w:t>
      </w:r>
      <w:r w:rsidR="006017DD" w:rsidRPr="0086059C">
        <w:t>legislativního prostředí v oblasti výstavby nových jaderných zdrojů</w:t>
      </w:r>
      <w:r w:rsidR="00F63504" w:rsidRPr="0086059C">
        <w:t xml:space="preserve"> znamená významné prodloužení přípravy projektů především z následujících důvodů</w:t>
      </w:r>
      <w:r w:rsidR="006017DD" w:rsidRPr="0086059C">
        <w:t>:</w:t>
      </w:r>
    </w:p>
    <w:p w:rsidR="00922F51" w:rsidRPr="0086059C" w:rsidRDefault="00922F51" w:rsidP="0044189F">
      <w:pPr>
        <w:pStyle w:val="Odstavecseseznamem"/>
        <w:numPr>
          <w:ilvl w:val="0"/>
          <w:numId w:val="105"/>
        </w:numPr>
        <w:jc w:val="both"/>
      </w:pPr>
      <w:r w:rsidRPr="0086059C">
        <w:rPr>
          <w:b/>
        </w:rPr>
        <w:t>Velký počet vzájemně navazujících a podmiňujících řízení neúměrně prodlužuje dobu přípravy na výstavbu jaderné elektrárny</w:t>
      </w:r>
      <w:r w:rsidRPr="0086059C">
        <w:t xml:space="preserve"> (i v porovnání s ostatními zeměmi EU) – velký počet řízení umožňuje rovněž opakované napadání procesu přípravy ze strany odpůrců výstavby s cílem maximálně oddálit nebo úplně znemožnit výstavbu investičního celku</w:t>
      </w:r>
    </w:p>
    <w:p w:rsidR="00922F51" w:rsidRPr="0086059C" w:rsidRDefault="00922F51" w:rsidP="0044189F">
      <w:pPr>
        <w:pStyle w:val="Odstavecseseznamem"/>
        <w:numPr>
          <w:ilvl w:val="0"/>
          <w:numId w:val="105"/>
        </w:numPr>
        <w:jc w:val="both"/>
      </w:pPr>
      <w:r w:rsidRPr="0086059C">
        <w:rPr>
          <w:b/>
        </w:rPr>
        <w:t xml:space="preserve">S ohledem na požadavky územního řízení a souvisejících povolení </w:t>
      </w:r>
      <w:r w:rsidRPr="0086059C">
        <w:t>a s ohledem na specifika jaderných projektů (viz výše)</w:t>
      </w:r>
      <w:r w:rsidRPr="0086059C">
        <w:rPr>
          <w:b/>
        </w:rPr>
        <w:t xml:space="preserve"> je nutno vybrat dodavatele jaderné elektrárny ještě před zahájením zpracování dokumentace územního řízení</w:t>
      </w:r>
      <w:r w:rsidRPr="0086059C">
        <w:t xml:space="preserve"> – to výrazně prodlužuje dobu mezi podpisem smlouvy s dodavatelem a reálným zahájením výstavby, což výrazně zvyšuje rizika navýšení nákladů a prodloužení termínů výstavby</w:t>
      </w:r>
    </w:p>
    <w:p w:rsidR="00922F51" w:rsidRPr="0086059C" w:rsidRDefault="00922F51" w:rsidP="0044189F">
      <w:pPr>
        <w:pStyle w:val="Odstavecseseznamem"/>
        <w:numPr>
          <w:ilvl w:val="0"/>
          <w:numId w:val="105"/>
        </w:numPr>
        <w:jc w:val="both"/>
      </w:pPr>
      <w:r w:rsidRPr="0086059C">
        <w:rPr>
          <w:b/>
        </w:rPr>
        <w:t>Podmínky územního rozhodnutí jsou známy až po dokončení úvodního projektu (basic design) a zpracování předběžné bezpečnostní zprávy dle Atomového zákona</w:t>
      </w:r>
      <w:r w:rsidRPr="0086059C">
        <w:t xml:space="preserve"> – to může vést k potřebě přepracování dokumentace s velkým dopadem do harmonogramu a nákladů</w:t>
      </w:r>
    </w:p>
    <w:p w:rsidR="00922F51" w:rsidRPr="0086059C" w:rsidRDefault="006017DD" w:rsidP="0086059C">
      <w:pPr>
        <w:ind w:left="576"/>
        <w:jc w:val="both"/>
        <w:rPr>
          <w:u w:val="single"/>
        </w:rPr>
      </w:pPr>
      <w:r w:rsidRPr="0086059C">
        <w:rPr>
          <w:u w:val="single"/>
        </w:rPr>
        <w:t>Návrh opatření:</w:t>
      </w:r>
    </w:p>
    <w:p w:rsidR="00223F35" w:rsidRPr="0086059C" w:rsidRDefault="00223F35" w:rsidP="0044189F">
      <w:pPr>
        <w:pStyle w:val="Odstavecseseznamem"/>
        <w:numPr>
          <w:ilvl w:val="0"/>
          <w:numId w:val="93"/>
        </w:numPr>
        <w:jc w:val="both"/>
      </w:pPr>
      <w:r w:rsidRPr="0086059C">
        <w:t>Připravit zákon o strategických stavbách, který bude integrovat veškerá povolovací řízení potřebná pro výstavbu staveb strategického charakteru (s výjimkou Atomov</w:t>
      </w:r>
      <w:r w:rsidR="000D6721">
        <w:t>ého</w:t>
      </w:r>
      <w:r w:rsidRPr="0086059C">
        <w:t xml:space="preserve"> zákon</w:t>
      </w:r>
      <w:r w:rsidR="000D6721">
        <w:t>a</w:t>
      </w:r>
      <w:r w:rsidRPr="0086059C">
        <w:t>)</w:t>
      </w:r>
      <w:r w:rsidR="00FE397A">
        <w:t>.</w:t>
      </w:r>
    </w:p>
    <w:p w:rsidR="00922F51" w:rsidRPr="0086059C" w:rsidRDefault="00922F51" w:rsidP="0044189F">
      <w:pPr>
        <w:pStyle w:val="Odstavecseseznamem"/>
        <w:numPr>
          <w:ilvl w:val="0"/>
          <w:numId w:val="93"/>
        </w:numPr>
        <w:jc w:val="both"/>
      </w:pPr>
      <w:r w:rsidRPr="0086059C">
        <w:t>Umožnit v zákoně o strategických stavbách investorovi volbu mezi jednostupňovým a dvoustupňových jednotným povolovacím řízením (jednostupňové by bylo zpravidla aplikováno pro liniové stavby a stavby, kde je možno specifikovat technické řešení bez ohledu na volbu dodavatele, dvoustupňové pak např. u složitějších staveb, které jsou závislé na konkrétním technickém řešení dodavatele popř</w:t>
      </w:r>
      <w:r w:rsidR="003925DC">
        <w:t>ípadě</w:t>
      </w:r>
      <w:r w:rsidRPr="0086059C">
        <w:t xml:space="preserve"> umožnit kombinaci přístupu (jedno- a dvoustupňového řízení) pro jednotlivé stavb</w:t>
      </w:r>
      <w:r w:rsidR="003925DC">
        <w:t>y celkového investičního záměru</w:t>
      </w:r>
      <w:r w:rsidR="00FE397A">
        <w:t>.</w:t>
      </w:r>
    </w:p>
    <w:p w:rsidR="00922F51" w:rsidRPr="0086059C" w:rsidRDefault="00922F51" w:rsidP="0044189F">
      <w:pPr>
        <w:pStyle w:val="Odstavecseseznamem"/>
        <w:numPr>
          <w:ilvl w:val="0"/>
          <w:numId w:val="93"/>
        </w:numPr>
        <w:jc w:val="both"/>
      </w:pPr>
      <w:r w:rsidRPr="0086059C">
        <w:t>V rámci jednostupňového jednotného povolovacího řízení integrovat veškeré povolovací procesy do jednoho řízení</w:t>
      </w:r>
      <w:r w:rsidR="00FE397A">
        <w:t>.</w:t>
      </w:r>
    </w:p>
    <w:p w:rsidR="00922F51" w:rsidRPr="0086059C" w:rsidRDefault="00922F51" w:rsidP="0044189F">
      <w:pPr>
        <w:pStyle w:val="Odstavecseseznamem"/>
        <w:numPr>
          <w:ilvl w:val="0"/>
          <w:numId w:val="93"/>
        </w:numPr>
        <w:jc w:val="both"/>
      </w:pPr>
      <w:r w:rsidRPr="0086059C">
        <w:t>V rámci dvoustupňového povolovacího procesu:</w:t>
      </w:r>
    </w:p>
    <w:p w:rsidR="00922F51" w:rsidRPr="0086059C" w:rsidRDefault="00922F51" w:rsidP="0044189F">
      <w:pPr>
        <w:pStyle w:val="Odstavecseseznamem"/>
        <w:numPr>
          <w:ilvl w:val="1"/>
          <w:numId w:val="93"/>
        </w:numPr>
        <w:jc w:val="both"/>
      </w:pPr>
      <w:r w:rsidRPr="0086059C">
        <w:rPr>
          <w:u w:val="single"/>
        </w:rPr>
        <w:t>v prvním stupni povolení (jednotné územní rozhodnutí)</w:t>
      </w:r>
      <w:r w:rsidRPr="0086059C">
        <w:t xml:space="preserve"> – integrovat řízení EIA, územní řízení včetně zahrnutí dalších povolovacích procesů vyžadujících rozhodnutí – v rámci tohoto prvního stupně by byla tzv. </w:t>
      </w:r>
      <w:r w:rsidRPr="0086059C">
        <w:rPr>
          <w:b/>
        </w:rPr>
        <w:t>„obalovou metodou“ jednotného územního rozhodnutí stanovena max. hranice plochy vč. maximálního výškového uspořádání</w:t>
      </w:r>
      <w:r w:rsidRPr="0086059C">
        <w:t xml:space="preserve">, uvnitř této plochy by byly umístěny jednotlivé budovy potřebné pro provoz, přičemž jejich konkrétní výškové a prostorové uspořádání by bylo určeno až ve druhém stupni. Jednotné územní rozhodnutí by obsahovalo i omezení stanovené dotčenými orgány dle závazných stanovisek (např. max. možný odběr vod, max. </w:t>
      </w:r>
      <w:r w:rsidRPr="0086059C">
        <w:lastRenderedPageBreak/>
        <w:t>množství a kvalitu vypouštěných vod atd.) a tyto limity by byly ve druhém stupni povolovacího procesu nepřekročitelné.</w:t>
      </w:r>
    </w:p>
    <w:p w:rsidR="00922F51" w:rsidRPr="0086059C" w:rsidRDefault="00922F51" w:rsidP="0044189F">
      <w:pPr>
        <w:pStyle w:val="Odstavecseseznamem"/>
        <w:numPr>
          <w:ilvl w:val="1"/>
          <w:numId w:val="93"/>
        </w:numPr>
        <w:jc w:val="both"/>
      </w:pPr>
      <w:r w:rsidRPr="0086059C">
        <w:rPr>
          <w:u w:val="single"/>
        </w:rPr>
        <w:t>Ve druhém stupni (jednotné povolení k realizaci)</w:t>
      </w:r>
      <w:r w:rsidRPr="0086059C">
        <w:t xml:space="preserve"> – stavební řízení a související procesy včetně přezkoumání souladu s podmínkami jednotného územního rozhodnutí (včetně podmínek hodnocení vlivu na životní prostředí). </w:t>
      </w:r>
    </w:p>
    <w:p w:rsidR="00922F51" w:rsidRPr="0086059C" w:rsidRDefault="00223F35" w:rsidP="0086059C">
      <w:pPr>
        <w:jc w:val="both"/>
        <w:rPr>
          <w:b/>
          <w:sz w:val="24"/>
          <w:szCs w:val="24"/>
          <w:u w:val="single"/>
        </w:rPr>
      </w:pPr>
      <w:r w:rsidRPr="0086059C">
        <w:rPr>
          <w:b/>
          <w:sz w:val="24"/>
          <w:szCs w:val="24"/>
          <w:u w:val="single"/>
        </w:rPr>
        <w:t>Poznámka</w:t>
      </w:r>
      <w:r w:rsidR="00A9339D">
        <w:rPr>
          <w:b/>
          <w:sz w:val="24"/>
          <w:szCs w:val="24"/>
          <w:u w:val="single"/>
        </w:rPr>
        <w:t>:</w:t>
      </w:r>
    </w:p>
    <w:p w:rsidR="00922F51" w:rsidRPr="0086059C" w:rsidRDefault="00922F51" w:rsidP="0044189F">
      <w:pPr>
        <w:pStyle w:val="Odstavecseseznamem"/>
        <w:numPr>
          <w:ilvl w:val="0"/>
          <w:numId w:val="94"/>
        </w:numPr>
        <w:jc w:val="both"/>
      </w:pPr>
      <w:r w:rsidRPr="0086059C">
        <w:t>Klíčovým faktorem pro první stupeň dvoustupňového povolovacího procesu je možnost uplatnění „obalového principu“</w:t>
      </w:r>
      <w:r w:rsidR="00FE397A">
        <w:t>.</w:t>
      </w:r>
    </w:p>
    <w:p w:rsidR="00F63504" w:rsidRPr="0086059C" w:rsidRDefault="00922F51" w:rsidP="0044189F">
      <w:pPr>
        <w:pStyle w:val="Odstavecseseznamem"/>
        <w:numPr>
          <w:ilvl w:val="0"/>
          <w:numId w:val="94"/>
        </w:numPr>
        <w:jc w:val="both"/>
      </w:pPr>
      <w:r w:rsidRPr="0086059C">
        <w:t>Existence pouze jednostupňového jednotného povolovacího řízení (a nemožnost postupovat podle dvoustupňového povolovacího řízení) by přípravu investičních projektů charakteru jaderné elektrárny naopak výrazně zkomplikovala a prodloužila, neboť by bylo nutné vybrat dodavatele ještě před zahájením zpracování dokumentace pro povolovací řízení již před zahájením EIA</w:t>
      </w:r>
      <w:r w:rsidR="00FE397A">
        <w:t>.</w:t>
      </w:r>
    </w:p>
    <w:p w:rsidR="00556904" w:rsidRPr="0086059C" w:rsidRDefault="0086059C" w:rsidP="0086059C">
      <w:pPr>
        <w:pStyle w:val="Nadpis3"/>
      </w:pPr>
      <w:bookmarkStart w:id="259" w:name="_Toc407035585"/>
      <w:bookmarkStart w:id="260" w:name="_Toc420056043"/>
      <w:r w:rsidRPr="0086059C">
        <w:t>Opatření</w:t>
      </w:r>
      <w:r w:rsidR="00556904" w:rsidRPr="0086059C">
        <w:t xml:space="preserve"> v</w:t>
      </w:r>
      <w:r w:rsidR="0023231E" w:rsidRPr="0086059C">
        <w:t xml:space="preserve"> oblasti </w:t>
      </w:r>
      <w:r w:rsidR="00556904" w:rsidRPr="0086059C">
        <w:t>organizac</w:t>
      </w:r>
      <w:r w:rsidR="0023231E" w:rsidRPr="0086059C">
        <w:t>e</w:t>
      </w:r>
      <w:r w:rsidR="00556904" w:rsidRPr="0086059C">
        <w:t xml:space="preserve"> sektoru jaderné energetiky</w:t>
      </w:r>
      <w:bookmarkEnd w:id="259"/>
      <w:bookmarkEnd w:id="260"/>
    </w:p>
    <w:p w:rsidR="00556904" w:rsidRPr="0086059C" w:rsidRDefault="00556904" w:rsidP="00591E2F">
      <w:pPr>
        <w:pStyle w:val="Odstavecseseznamem"/>
        <w:numPr>
          <w:ilvl w:val="0"/>
          <w:numId w:val="80"/>
        </w:numPr>
        <w:spacing w:after="120"/>
        <w:ind w:left="714" w:hanging="357"/>
        <w:contextualSpacing w:val="0"/>
        <w:jc w:val="both"/>
      </w:pPr>
      <w:r w:rsidRPr="0086059C">
        <w:t>Připravit do legislativního procesu NAP JE</w:t>
      </w:r>
      <w:r w:rsidR="00F93990">
        <w:t>.</w:t>
      </w:r>
    </w:p>
    <w:p w:rsidR="00556904" w:rsidRPr="0086059C" w:rsidRDefault="00556904" w:rsidP="00591E2F">
      <w:pPr>
        <w:pStyle w:val="Odstavecseseznamem"/>
        <w:numPr>
          <w:ilvl w:val="1"/>
          <w:numId w:val="80"/>
        </w:numPr>
        <w:spacing w:before="120" w:after="0"/>
        <w:ind w:left="1434" w:hanging="357"/>
        <w:contextualSpacing w:val="0"/>
        <w:jc w:val="both"/>
      </w:pPr>
      <w:r w:rsidRPr="00F93990">
        <w:rPr>
          <w:u w:val="single"/>
        </w:rPr>
        <w:t>Zajistí:</w:t>
      </w:r>
      <w:r w:rsidRPr="0086059C">
        <w:t xml:space="preserve"> MPO</w:t>
      </w:r>
    </w:p>
    <w:p w:rsidR="00556904" w:rsidRPr="0086059C" w:rsidRDefault="00556904" w:rsidP="00591E2F">
      <w:pPr>
        <w:pStyle w:val="Odstavecseseznamem"/>
        <w:numPr>
          <w:ilvl w:val="1"/>
          <w:numId w:val="80"/>
        </w:numPr>
        <w:spacing w:after="120"/>
        <w:ind w:left="1434" w:hanging="357"/>
        <w:contextualSpacing w:val="0"/>
        <w:jc w:val="both"/>
      </w:pPr>
      <w:r w:rsidRPr="00F93990">
        <w:rPr>
          <w:u w:val="single"/>
        </w:rPr>
        <w:t>Termín:</w:t>
      </w:r>
      <w:r w:rsidR="00420D32">
        <w:t xml:space="preserve"> 31. 12. 2016</w:t>
      </w:r>
    </w:p>
    <w:p w:rsidR="00556904" w:rsidRDefault="00556904" w:rsidP="00591E2F">
      <w:pPr>
        <w:pStyle w:val="Odstavecseseznamem"/>
        <w:numPr>
          <w:ilvl w:val="0"/>
          <w:numId w:val="80"/>
        </w:numPr>
        <w:spacing w:after="120"/>
        <w:ind w:left="714" w:hanging="357"/>
        <w:contextualSpacing w:val="0"/>
        <w:jc w:val="both"/>
      </w:pPr>
      <w:r w:rsidRPr="0086059C">
        <w:t>Založit výbor s vládním</w:t>
      </w:r>
      <w:r>
        <w:t xml:space="preserve"> zmocněncem pro jadernou energetiku jako tajemníkem</w:t>
      </w:r>
      <w:r w:rsidR="00CD5E88">
        <w:t>.</w:t>
      </w:r>
    </w:p>
    <w:p w:rsidR="00556904" w:rsidRDefault="00556904" w:rsidP="00591E2F">
      <w:pPr>
        <w:pStyle w:val="Odstavecseseznamem"/>
        <w:numPr>
          <w:ilvl w:val="1"/>
          <w:numId w:val="80"/>
        </w:numPr>
        <w:spacing w:before="120" w:after="0"/>
        <w:ind w:left="1434" w:hanging="357"/>
        <w:contextualSpacing w:val="0"/>
        <w:jc w:val="both"/>
      </w:pPr>
      <w:r w:rsidRPr="00F93990">
        <w:rPr>
          <w:u w:val="single"/>
        </w:rPr>
        <w:t>Zajistí:</w:t>
      </w:r>
      <w:r>
        <w:t xml:space="preserve"> MPO</w:t>
      </w:r>
    </w:p>
    <w:p w:rsidR="00556904" w:rsidRDefault="00556904" w:rsidP="00591E2F">
      <w:pPr>
        <w:pStyle w:val="Odstavecseseznamem"/>
        <w:numPr>
          <w:ilvl w:val="1"/>
          <w:numId w:val="80"/>
        </w:numPr>
        <w:spacing w:after="120"/>
        <w:ind w:left="1434" w:hanging="357"/>
        <w:contextualSpacing w:val="0"/>
        <w:jc w:val="both"/>
      </w:pPr>
      <w:r w:rsidRPr="00F93990">
        <w:rPr>
          <w:u w:val="single"/>
        </w:rPr>
        <w:t>Termín:</w:t>
      </w:r>
      <w:r w:rsidR="005D04F6">
        <w:t xml:space="preserve"> 30. 9</w:t>
      </w:r>
      <w:r w:rsidR="00420D32">
        <w:t>. 2015</w:t>
      </w:r>
    </w:p>
    <w:p w:rsidR="00556904" w:rsidRDefault="00556904" w:rsidP="00591E2F">
      <w:pPr>
        <w:pStyle w:val="Odstavecseseznamem"/>
        <w:numPr>
          <w:ilvl w:val="0"/>
          <w:numId w:val="80"/>
        </w:numPr>
        <w:spacing w:after="120"/>
        <w:ind w:left="714" w:hanging="357"/>
        <w:contextualSpacing w:val="0"/>
        <w:jc w:val="both"/>
      </w:pPr>
      <w:r>
        <w:t>Metodicky připravit fungování organizace sdružující průmyslové podniky s působením v oblasti jaderné energetiky</w:t>
      </w:r>
      <w:r w:rsidR="00CD5E88">
        <w:t>.</w:t>
      </w:r>
    </w:p>
    <w:p w:rsidR="00556904" w:rsidRDefault="00556904" w:rsidP="00591E2F">
      <w:pPr>
        <w:pStyle w:val="Odstavecseseznamem"/>
        <w:numPr>
          <w:ilvl w:val="1"/>
          <w:numId w:val="80"/>
        </w:numPr>
        <w:spacing w:before="120" w:after="0"/>
        <w:ind w:left="1434" w:hanging="357"/>
        <w:contextualSpacing w:val="0"/>
        <w:jc w:val="both"/>
      </w:pPr>
      <w:r w:rsidRPr="00F93990">
        <w:rPr>
          <w:u w:val="single"/>
        </w:rPr>
        <w:t>Zajistí:</w:t>
      </w:r>
      <w:r>
        <w:t xml:space="preserve"> MPO</w:t>
      </w:r>
    </w:p>
    <w:p w:rsidR="00556904" w:rsidRPr="000D6721" w:rsidRDefault="00556904" w:rsidP="00591E2F">
      <w:pPr>
        <w:pStyle w:val="Odstavecseseznamem"/>
        <w:numPr>
          <w:ilvl w:val="1"/>
          <w:numId w:val="80"/>
        </w:numPr>
        <w:spacing w:after="120"/>
        <w:ind w:left="1434" w:hanging="357"/>
        <w:contextualSpacing w:val="0"/>
        <w:jc w:val="both"/>
      </w:pPr>
      <w:r w:rsidRPr="00F93990">
        <w:rPr>
          <w:u w:val="single"/>
        </w:rPr>
        <w:t>Termín:</w:t>
      </w:r>
      <w:r w:rsidRPr="00922F51">
        <w:t xml:space="preserve"> </w:t>
      </w:r>
      <w:r w:rsidR="00420D32">
        <w:t>31. 12. 2016</w:t>
      </w:r>
    </w:p>
    <w:p w:rsidR="00922F51" w:rsidRPr="000D6721" w:rsidRDefault="00922F51" w:rsidP="00591E2F">
      <w:pPr>
        <w:pStyle w:val="Odstavecseseznamem"/>
        <w:numPr>
          <w:ilvl w:val="0"/>
          <w:numId w:val="80"/>
        </w:numPr>
        <w:spacing w:after="120"/>
        <w:ind w:left="714" w:hanging="357"/>
        <w:contextualSpacing w:val="0"/>
        <w:jc w:val="both"/>
      </w:pPr>
      <w:r w:rsidRPr="000D6721">
        <w:t>Připravit</w:t>
      </w:r>
      <w:r w:rsidR="00543F86">
        <w:t xml:space="preserve"> analýzu možn</w:t>
      </w:r>
      <w:r w:rsidR="00E46668">
        <w:t>ostí řešení problematiky</w:t>
      </w:r>
      <w:r w:rsidRPr="000D6721">
        <w:t xml:space="preserve"> strategických</w:t>
      </w:r>
      <w:r w:rsidR="00E46668">
        <w:t xml:space="preserve"> staveb</w:t>
      </w:r>
      <w:r w:rsidR="00372DF3" w:rsidRPr="00372DF3">
        <w:t xml:space="preserve"> stavebním</w:t>
      </w:r>
      <w:r w:rsidR="00E46668">
        <w:t xml:space="preserve"> zákonem</w:t>
      </w:r>
      <w:r w:rsidRPr="000D6721">
        <w:t xml:space="preserve">, který </w:t>
      </w:r>
      <w:r w:rsidR="002A4906">
        <w:t xml:space="preserve">by obsahoval </w:t>
      </w:r>
      <w:r w:rsidR="006017DD" w:rsidRPr="000D6721">
        <w:t>možnost výběru mezi jednostupňovým a dvoustupňovým jednotným povolovacím řízením v souladu s principy definovanými v předchozí kapitole</w:t>
      </w:r>
      <w:r w:rsidR="00543F86">
        <w:t xml:space="preserve"> a v návaznosti na tuto analýzu případně připravit návrh věcného zámě</w:t>
      </w:r>
      <w:bookmarkStart w:id="261" w:name="_GoBack"/>
      <w:bookmarkEnd w:id="261"/>
      <w:r w:rsidR="00543F86">
        <w:t>ru</w:t>
      </w:r>
      <w:r w:rsidR="002A4906">
        <w:t xml:space="preserve"> zákona o strategických stavbách</w:t>
      </w:r>
      <w:r w:rsidR="00F93990">
        <w:t>.</w:t>
      </w:r>
    </w:p>
    <w:p w:rsidR="006017DD" w:rsidRPr="000D6721" w:rsidRDefault="006017DD" w:rsidP="00591E2F">
      <w:pPr>
        <w:pStyle w:val="Odstavecseseznamem"/>
        <w:numPr>
          <w:ilvl w:val="1"/>
          <w:numId w:val="80"/>
        </w:numPr>
        <w:spacing w:before="120" w:after="0"/>
        <w:ind w:left="1434" w:hanging="357"/>
        <w:contextualSpacing w:val="0"/>
        <w:jc w:val="both"/>
      </w:pPr>
      <w:r w:rsidRPr="00F93990">
        <w:rPr>
          <w:u w:val="single"/>
        </w:rPr>
        <w:t>Zajistí:</w:t>
      </w:r>
      <w:r w:rsidRPr="000D6721">
        <w:t xml:space="preserve"> </w:t>
      </w:r>
      <w:r w:rsidR="00372DF3">
        <w:t>MMR</w:t>
      </w:r>
      <w:r w:rsidR="005562D9">
        <w:t xml:space="preserve"> a </w:t>
      </w:r>
      <w:r w:rsidRPr="000D6721">
        <w:t>MPO</w:t>
      </w:r>
      <w:r w:rsidR="0005102C" w:rsidRPr="000D6721">
        <w:t xml:space="preserve">, spolupracuje </w:t>
      </w:r>
      <w:r w:rsidR="00121B09">
        <w:t>MŽP</w:t>
      </w:r>
    </w:p>
    <w:p w:rsidR="006017DD" w:rsidRDefault="006017DD" w:rsidP="00591E2F">
      <w:pPr>
        <w:pStyle w:val="Odstavecseseznamem"/>
        <w:numPr>
          <w:ilvl w:val="1"/>
          <w:numId w:val="80"/>
        </w:numPr>
        <w:spacing w:after="120"/>
        <w:ind w:left="1434" w:hanging="357"/>
        <w:contextualSpacing w:val="0"/>
        <w:jc w:val="both"/>
      </w:pPr>
      <w:r w:rsidRPr="00F93990">
        <w:rPr>
          <w:u w:val="single"/>
        </w:rPr>
        <w:t>Termín:</w:t>
      </w:r>
      <w:r w:rsidRPr="000D6721">
        <w:t xml:space="preserve"> </w:t>
      </w:r>
      <w:r w:rsidR="000D6721" w:rsidRPr="000D6721">
        <w:t>31. 12. 2015</w:t>
      </w:r>
    </w:p>
    <w:p w:rsidR="00FB1897" w:rsidRPr="001B3793" w:rsidRDefault="00FB1897" w:rsidP="00591E2F">
      <w:pPr>
        <w:pStyle w:val="Odstavecseseznamem"/>
        <w:numPr>
          <w:ilvl w:val="0"/>
          <w:numId w:val="80"/>
        </w:numPr>
        <w:spacing w:after="120"/>
        <w:ind w:left="714" w:hanging="357"/>
        <w:contextualSpacing w:val="0"/>
        <w:jc w:val="both"/>
      </w:pPr>
      <w:r w:rsidRPr="001B3793">
        <w:rPr>
          <w:rFonts w:ascii="Times New Roman" w:hAnsi="Times New Roman" w:cs="Times New Roman"/>
        </w:rPr>
        <w:t>Systematicky podporovat další využívání jaderné energetiky v rámci mezinárodní politiky ČR</w:t>
      </w:r>
      <w:r w:rsidR="001B6B15" w:rsidRPr="001B3793">
        <w:rPr>
          <w:rFonts w:ascii="Times New Roman" w:hAnsi="Times New Roman" w:cs="Times New Roman"/>
        </w:rPr>
        <w:t xml:space="preserve"> a mapovat pozice ostatních států</w:t>
      </w:r>
      <w:r w:rsidR="001B3793">
        <w:rPr>
          <w:rFonts w:ascii="Times New Roman" w:hAnsi="Times New Roman" w:cs="Times New Roman"/>
        </w:rPr>
        <w:t>.</w:t>
      </w:r>
    </w:p>
    <w:p w:rsidR="00FB1897" w:rsidRPr="001B3793" w:rsidRDefault="00FB1897" w:rsidP="00591E2F">
      <w:pPr>
        <w:pStyle w:val="Odstavecseseznamem"/>
        <w:numPr>
          <w:ilvl w:val="1"/>
          <w:numId w:val="80"/>
        </w:numPr>
        <w:spacing w:before="120" w:after="0"/>
        <w:ind w:left="1434" w:hanging="357"/>
        <w:contextualSpacing w:val="0"/>
        <w:jc w:val="both"/>
      </w:pPr>
      <w:r w:rsidRPr="001B3793">
        <w:rPr>
          <w:u w:val="single"/>
        </w:rPr>
        <w:t>Zajistí:</w:t>
      </w:r>
      <w:r w:rsidRPr="001B3793">
        <w:t xml:space="preserve"> </w:t>
      </w:r>
      <w:r w:rsidR="000368A1" w:rsidRPr="001B3793">
        <w:rPr>
          <w:rFonts w:ascii="Times New Roman" w:hAnsi="Times New Roman" w:cs="Times New Roman"/>
        </w:rPr>
        <w:t>MPO</w:t>
      </w:r>
      <w:r w:rsidR="00CD5E88" w:rsidRPr="001B3793">
        <w:rPr>
          <w:rFonts w:ascii="Times New Roman" w:hAnsi="Times New Roman" w:cs="Times New Roman"/>
        </w:rPr>
        <w:t>,</w:t>
      </w:r>
      <w:r w:rsidR="000368A1" w:rsidRPr="001B3793">
        <w:rPr>
          <w:rFonts w:ascii="Times New Roman" w:hAnsi="Times New Roman" w:cs="Times New Roman"/>
        </w:rPr>
        <w:t xml:space="preserve"> </w:t>
      </w:r>
      <w:r w:rsidR="00CD5E88" w:rsidRPr="001B3793">
        <w:rPr>
          <w:rFonts w:ascii="Times New Roman" w:hAnsi="Times New Roman" w:cs="Times New Roman"/>
        </w:rPr>
        <w:t xml:space="preserve">spolupracuje </w:t>
      </w:r>
      <w:r w:rsidR="000368A1" w:rsidRPr="001B3793">
        <w:rPr>
          <w:rFonts w:ascii="Times New Roman" w:hAnsi="Times New Roman" w:cs="Times New Roman"/>
        </w:rPr>
        <w:t>MZV, S</w:t>
      </w:r>
      <w:r w:rsidR="001941F1" w:rsidRPr="001B3793">
        <w:rPr>
          <w:rFonts w:ascii="Times New Roman" w:hAnsi="Times New Roman" w:cs="Times New Roman"/>
        </w:rPr>
        <w:t>Ú</w:t>
      </w:r>
      <w:r w:rsidR="000368A1" w:rsidRPr="001B3793">
        <w:rPr>
          <w:rFonts w:ascii="Times New Roman" w:hAnsi="Times New Roman" w:cs="Times New Roman"/>
        </w:rPr>
        <w:t>JB</w:t>
      </w:r>
    </w:p>
    <w:p w:rsidR="004B10B9" w:rsidRDefault="00CD5E88" w:rsidP="00591E2F">
      <w:pPr>
        <w:pStyle w:val="Odstavecseseznamem"/>
        <w:numPr>
          <w:ilvl w:val="1"/>
          <w:numId w:val="80"/>
        </w:numPr>
        <w:spacing w:after="240"/>
        <w:ind w:left="1434" w:hanging="357"/>
        <w:jc w:val="both"/>
      </w:pPr>
      <w:r w:rsidRPr="001B3793">
        <w:rPr>
          <w:u w:val="single"/>
        </w:rPr>
        <w:t>Termín:</w:t>
      </w:r>
      <w:r w:rsidRPr="001B3793">
        <w:t xml:space="preserve"> průběžně</w:t>
      </w:r>
    </w:p>
    <w:p w:rsidR="004B10B9" w:rsidRDefault="004B10B9">
      <w:r>
        <w:br w:type="page"/>
      </w:r>
    </w:p>
    <w:p w:rsidR="00DD0FC7" w:rsidRPr="00F433A0" w:rsidRDefault="000D6721" w:rsidP="00F433A0">
      <w:pPr>
        <w:pStyle w:val="Nadpis2"/>
      </w:pPr>
      <w:bookmarkStart w:id="262" w:name="_Toc407035586"/>
      <w:bookmarkStart w:id="263" w:name="_Toc420056044"/>
      <w:r>
        <w:lastRenderedPageBreak/>
        <w:t>Dlouhodobý provoz</w:t>
      </w:r>
      <w:r w:rsidR="0023231E">
        <w:t xml:space="preserve"> </w:t>
      </w:r>
      <w:r w:rsidR="00E85554">
        <w:t>EDU (a následně i ETE)</w:t>
      </w:r>
      <w:bookmarkEnd w:id="262"/>
      <w:bookmarkEnd w:id="263"/>
    </w:p>
    <w:p w:rsidR="00DD0FC7" w:rsidRDefault="00DD0FC7" w:rsidP="00DD0FC7">
      <w:pPr>
        <w:jc w:val="both"/>
      </w:pPr>
      <w:r w:rsidRPr="00E21E21">
        <w:t xml:space="preserve">ČEZ v návaznosti na své rozhodnutí zajistit dlouhodobý provoz EDU </w:t>
      </w:r>
      <w:r>
        <w:t xml:space="preserve">(LTO) </w:t>
      </w:r>
      <w:r w:rsidRPr="00E21E21">
        <w:t xml:space="preserve">i po uplynutí jeho projektové životnosti již dlouhodobě intenzivně připravuje konkrétní opatření, jejichž cílem je získat povolení k provozu pro jednotlivé bloky i po uplynutí jejich projektové životnosti. Cílem je zajistit bezpečný provoz, stabilní dodávky i při odstavování uhelných bloků a v neposlední řadě potřebné cash </w:t>
      </w:r>
      <w:proofErr w:type="spellStart"/>
      <w:r w:rsidRPr="00E21E21">
        <w:t>flow</w:t>
      </w:r>
      <w:proofErr w:type="spellEnd"/>
      <w:r w:rsidRPr="00E21E21">
        <w:t xml:space="preserve"> ČEZ a zdroje pro případnou další výstavbu.  </w:t>
      </w:r>
    </w:p>
    <w:p w:rsidR="00DD0FC7" w:rsidRDefault="00DD0FC7" w:rsidP="00DD0FC7">
      <w:pPr>
        <w:jc w:val="both"/>
      </w:pPr>
      <w:r>
        <w:t>B</w:t>
      </w:r>
      <w:r w:rsidRPr="00E21E21">
        <w:t xml:space="preserve">yla zpracována variantní </w:t>
      </w:r>
      <w:proofErr w:type="spellStart"/>
      <w:r w:rsidRPr="00E21E21">
        <w:t>technicko</w:t>
      </w:r>
      <w:proofErr w:type="spellEnd"/>
      <w:r w:rsidRPr="00E21E21">
        <w:t xml:space="preserve"> – ekonomická studie řešící technické, bezpečnostní a</w:t>
      </w:r>
      <w:r w:rsidR="00244E1B">
        <w:t> </w:t>
      </w:r>
      <w:r w:rsidRPr="00E21E21">
        <w:t xml:space="preserve">ekonomické aspekty provozu </w:t>
      </w:r>
      <w:r>
        <w:t xml:space="preserve">po uplynutí původní projektové životnosti </w:t>
      </w:r>
      <w:r w:rsidRPr="00E21E21">
        <w:t>v alternativách +10, +20 a</w:t>
      </w:r>
      <w:r w:rsidR="00244E1B">
        <w:t> </w:t>
      </w:r>
      <w:r w:rsidRPr="00E21E21">
        <w:t xml:space="preserve">+30let, která se průběžně aktualizuje. </w:t>
      </w:r>
      <w:r>
        <w:t xml:space="preserve">V rámci studie bylo prokázáno, že všechny zvažované varianty </w:t>
      </w:r>
      <w:r w:rsidRPr="00580CA7">
        <w:rPr>
          <w:rFonts w:cs="Arial"/>
        </w:rPr>
        <w:t xml:space="preserve">jsou technicky realizovatelné v souladu s mezinárodními standardy </w:t>
      </w:r>
      <w:r>
        <w:rPr>
          <w:rFonts w:cs="Arial"/>
        </w:rPr>
        <w:t>a požadavky na zajištění jaderné bezpečnosti.</w:t>
      </w:r>
      <w:r w:rsidRPr="00580CA7">
        <w:rPr>
          <w:rFonts w:cs="Arial"/>
        </w:rPr>
        <w:t xml:space="preserve"> </w:t>
      </w:r>
      <w:r>
        <w:rPr>
          <w:rFonts w:cs="Arial"/>
        </w:rPr>
        <w:t>Současně nebyla identifikována</w:t>
      </w:r>
      <w:r w:rsidRPr="00580CA7">
        <w:rPr>
          <w:rFonts w:cs="Arial"/>
        </w:rPr>
        <w:t xml:space="preserve"> žádn</w:t>
      </w:r>
      <w:r>
        <w:rPr>
          <w:rFonts w:cs="Arial"/>
        </w:rPr>
        <w:t>á</w:t>
      </w:r>
      <w:r w:rsidRPr="00580CA7">
        <w:rPr>
          <w:rFonts w:cs="Arial"/>
        </w:rPr>
        <w:t xml:space="preserve"> technick</w:t>
      </w:r>
      <w:r>
        <w:rPr>
          <w:rFonts w:cs="Arial"/>
        </w:rPr>
        <w:t>á</w:t>
      </w:r>
      <w:r w:rsidRPr="00580CA7">
        <w:rPr>
          <w:rFonts w:cs="Arial"/>
        </w:rPr>
        <w:t xml:space="preserve"> </w:t>
      </w:r>
      <w:r>
        <w:rPr>
          <w:rFonts w:cs="Arial"/>
        </w:rPr>
        <w:t>překážka</w:t>
      </w:r>
      <w:r w:rsidRPr="00580CA7">
        <w:rPr>
          <w:rFonts w:cs="Arial"/>
        </w:rPr>
        <w:t>, kter</w:t>
      </w:r>
      <w:r>
        <w:rPr>
          <w:rFonts w:cs="Arial"/>
        </w:rPr>
        <w:t>á</w:t>
      </w:r>
      <w:r w:rsidRPr="00580CA7">
        <w:rPr>
          <w:rFonts w:cs="Arial"/>
        </w:rPr>
        <w:t xml:space="preserve"> by vylučoval</w:t>
      </w:r>
      <w:r>
        <w:rPr>
          <w:rFonts w:cs="Arial"/>
        </w:rPr>
        <w:t>a</w:t>
      </w:r>
      <w:r w:rsidRPr="00580CA7">
        <w:rPr>
          <w:rFonts w:cs="Arial"/>
        </w:rPr>
        <w:t xml:space="preserve"> </w:t>
      </w:r>
      <w:r w:rsidRPr="00580CA7">
        <w:rPr>
          <w:rFonts w:cs="Arial"/>
          <w:b/>
        </w:rPr>
        <w:t>provoz až do roku 2045</w:t>
      </w:r>
      <w:r>
        <w:rPr>
          <w:rFonts w:cs="Arial"/>
          <w:b/>
        </w:rPr>
        <w:t xml:space="preserve">-47 (+30 let). </w:t>
      </w:r>
      <w:r w:rsidRPr="009C7078">
        <w:rPr>
          <w:rFonts w:cs="Arial"/>
        </w:rPr>
        <w:t>Studie dále prokázala, že</w:t>
      </w:r>
      <w:r>
        <w:rPr>
          <w:rFonts w:cs="Arial"/>
          <w:b/>
        </w:rPr>
        <w:t xml:space="preserve"> </w:t>
      </w:r>
      <w:r>
        <w:rPr>
          <w:rFonts w:cs="Arial"/>
        </w:rPr>
        <w:t>e</w:t>
      </w:r>
      <w:r w:rsidRPr="00580CA7">
        <w:rPr>
          <w:rFonts w:cs="Arial"/>
        </w:rPr>
        <w:t xml:space="preserve">konomická efektivnost všech tří variant je </w:t>
      </w:r>
      <w:r w:rsidRPr="006D17C1">
        <w:rPr>
          <w:rFonts w:cs="Arial"/>
        </w:rPr>
        <w:t>vysoká</w:t>
      </w:r>
      <w:r>
        <w:rPr>
          <w:rFonts w:cs="Arial"/>
        </w:rPr>
        <w:t>,</w:t>
      </w:r>
      <w:r w:rsidRPr="006D17C1">
        <w:rPr>
          <w:rFonts w:cs="Arial"/>
        </w:rPr>
        <w:t xml:space="preserve"> vyšší než u alternativních elektráren s výrobou stejného množství elektrické energie stejných systémových vlastností, tedy v základu diagramu zatížení elektrizační soustavy.</w:t>
      </w:r>
      <w:r w:rsidRPr="00580CA7">
        <w:rPr>
          <w:rFonts w:cs="Arial"/>
        </w:rPr>
        <w:t xml:space="preserve"> </w:t>
      </w:r>
      <w:r>
        <w:rPr>
          <w:rFonts w:cs="Arial"/>
        </w:rPr>
        <w:t>Robustnost ekonomické efektivity jednotlivých variant byla testována citlivostními analýzami klíčových vstupních parametrů (cena elektřiny, jaderného paliva, celkové investice, délky odstávek atd.) V</w:t>
      </w:r>
      <w:r w:rsidRPr="00580CA7">
        <w:rPr>
          <w:rFonts w:cs="Arial"/>
        </w:rPr>
        <w:t xml:space="preserve">ýsledky </w:t>
      </w:r>
      <w:r>
        <w:rPr>
          <w:rFonts w:cs="Arial"/>
        </w:rPr>
        <w:t xml:space="preserve">analýz prokázaly, že hodnoty ekonomické efektivity </w:t>
      </w:r>
      <w:r w:rsidRPr="00580CA7">
        <w:rPr>
          <w:rFonts w:cs="Arial"/>
        </w:rPr>
        <w:t>jsou prognosticky stabilní a pravděpodobnost jejich dosažení je velmi vysoká.</w:t>
      </w:r>
      <w:r w:rsidRPr="00435365">
        <w:rPr>
          <w:rFonts w:cs="Arial"/>
        </w:rPr>
        <w:t xml:space="preserve"> </w:t>
      </w:r>
      <w:r w:rsidRPr="00580CA7">
        <w:rPr>
          <w:rFonts w:cs="Arial"/>
        </w:rPr>
        <w:t>S</w:t>
      </w:r>
      <w:r>
        <w:rPr>
          <w:rFonts w:cs="Arial"/>
        </w:rPr>
        <w:t xml:space="preserve">oučasně z ekonomických výpočtů jednotlivých variant plyne z dlouhodobého ekonomického pohledu jednoznačný závěr </w:t>
      </w:r>
      <w:r w:rsidRPr="00580CA7">
        <w:rPr>
          <w:rFonts w:cs="Arial"/>
        </w:rPr>
        <w:t>(s ohledem na dostupné předpoklady a</w:t>
      </w:r>
      <w:r w:rsidR="00244E1B">
        <w:rPr>
          <w:rFonts w:cs="Arial"/>
        </w:rPr>
        <w:t> </w:t>
      </w:r>
      <w:r w:rsidRPr="00580CA7">
        <w:rPr>
          <w:rFonts w:cs="Arial"/>
        </w:rPr>
        <w:t>analýzy)</w:t>
      </w:r>
      <w:r>
        <w:rPr>
          <w:rFonts w:cs="Arial"/>
        </w:rPr>
        <w:t>, že s délkou provozu stávajících bloků EDU roste ekonomická výhodnost jejich provozu.</w:t>
      </w:r>
    </w:p>
    <w:p w:rsidR="00DD0FC7" w:rsidRDefault="00DD0FC7" w:rsidP="00DD0FC7">
      <w:pPr>
        <w:jc w:val="both"/>
      </w:pPr>
      <w:r>
        <w:t>Největší r</w:t>
      </w:r>
      <w:r w:rsidRPr="00E21E21">
        <w:t xml:space="preserve">izika dalšího provozu EDU v alternativách LTO +20 a LTO +30 jsou </w:t>
      </w:r>
      <w:r>
        <w:t xml:space="preserve">především </w:t>
      </w:r>
      <w:r w:rsidRPr="00E21E21">
        <w:t xml:space="preserve">v  politicko-regulatorní oblasti. </w:t>
      </w:r>
      <w:r w:rsidRPr="004A26EC">
        <w:rPr>
          <w:rFonts w:cs="Arial"/>
        </w:rPr>
        <w:t xml:space="preserve">Rozhodujícím faktorem pro budoucí dlouhodobý provoz JE </w:t>
      </w:r>
      <w:proofErr w:type="spellStart"/>
      <w:r w:rsidRPr="004A26EC">
        <w:rPr>
          <w:rFonts w:cs="Arial"/>
        </w:rPr>
        <w:t>je</w:t>
      </w:r>
      <w:proofErr w:type="spellEnd"/>
      <w:r w:rsidRPr="004A26EC">
        <w:rPr>
          <w:rFonts w:cs="Arial"/>
        </w:rPr>
        <w:t xml:space="preserve"> pozitivní vnímání veřejností a potažmo </w:t>
      </w:r>
      <w:r w:rsidR="00FA4108">
        <w:rPr>
          <w:rFonts w:cs="Arial"/>
        </w:rPr>
        <w:t xml:space="preserve">i </w:t>
      </w:r>
      <w:r w:rsidRPr="004A26EC">
        <w:rPr>
          <w:rFonts w:cs="Arial"/>
        </w:rPr>
        <w:t>politickou reprezentací</w:t>
      </w:r>
      <w:r>
        <w:rPr>
          <w:rFonts w:cs="Arial"/>
        </w:rPr>
        <w:t>. Z tohoto pohledu největším rizikem je n</w:t>
      </w:r>
      <w:r w:rsidRPr="00680C74">
        <w:rPr>
          <w:rFonts w:cs="Arial"/>
        </w:rPr>
        <w:t>eadekvátní zvýšení nároků na bezpečnost a kvalitu provozu jaderných zdrojů a nastavení regulatorních požadavků v míře, která bude mít negativní dopad na ekonomický provoz zdroje, nebo ekonomicky znemožní</w:t>
      </w:r>
      <w:r w:rsidR="00FA4108">
        <w:rPr>
          <w:rFonts w:cs="Arial"/>
        </w:rPr>
        <w:t>,</w:t>
      </w:r>
      <w:r w:rsidRPr="00680C74">
        <w:rPr>
          <w:rFonts w:cs="Arial"/>
        </w:rPr>
        <w:t xml:space="preserve"> či přímo zakáže</w:t>
      </w:r>
      <w:r w:rsidR="00FA4108">
        <w:rPr>
          <w:rFonts w:cs="Arial"/>
        </w:rPr>
        <w:t>,</w:t>
      </w:r>
      <w:r w:rsidRPr="00680C74">
        <w:rPr>
          <w:rFonts w:cs="Arial"/>
        </w:rPr>
        <w:t xml:space="preserve"> další provoz zdroje (flexibilní pokrývání OZE, kapacitní mechanismy, Korfská deklarace, zvýšení pojištění za jaderné škody, požad</w:t>
      </w:r>
      <w:r w:rsidR="00FA4108">
        <w:rPr>
          <w:rFonts w:cs="Arial"/>
        </w:rPr>
        <w:t>avky na projekt JE, likvidace RA</w:t>
      </w:r>
      <w:r w:rsidRPr="00680C74">
        <w:rPr>
          <w:rFonts w:cs="Arial"/>
        </w:rPr>
        <w:t xml:space="preserve">O, ukládaní použitého paliva, eskalace požadavků v EIA atd.) </w:t>
      </w:r>
      <w:r w:rsidRPr="00E21E21">
        <w:t xml:space="preserve"> </w:t>
      </w:r>
      <w:r w:rsidRPr="009C7078">
        <w:rPr>
          <w:rFonts w:cs="Arial"/>
          <w:sz w:val="24"/>
        </w:rPr>
        <w:t>Prohlubující se integrace evropských zemí a</w:t>
      </w:r>
      <w:r w:rsidR="00A9339D">
        <w:rPr>
          <w:rFonts w:cs="Arial"/>
          <w:sz w:val="24"/>
        </w:rPr>
        <w:t> </w:t>
      </w:r>
      <w:r w:rsidRPr="009C7078">
        <w:rPr>
          <w:rFonts w:cs="Arial"/>
          <w:sz w:val="24"/>
        </w:rPr>
        <w:t>možný přesun dalších kompetencí z ČR na úroveň EU může změnit/omezit současnou suverenitu ČR v oblasti rozhodování o jaderných zdrojích. Současně může dojít k dalšímu přesunu legislativy a regulace v oblasti energetiky s negativním dopadem na ekonomiku zdroje nebo jeho provoz</w:t>
      </w:r>
      <w:r>
        <w:rPr>
          <w:rFonts w:cs="Arial"/>
        </w:rPr>
        <w:t xml:space="preserve">. Např. </w:t>
      </w:r>
      <w:r>
        <w:t>schválená energeticko</w:t>
      </w:r>
      <w:r w:rsidR="00F433A0">
        <w:t>-</w:t>
      </w:r>
      <w:r>
        <w:t>klimatická politika EU v oblasti závazných cílů redukce CO</w:t>
      </w:r>
      <w:r w:rsidRPr="00F433A0">
        <w:rPr>
          <w:vertAlign w:val="subscript"/>
        </w:rPr>
        <w:t>2</w:t>
      </w:r>
      <w:r>
        <w:t xml:space="preserve"> a podílu výroby z OZE neohrožuje přímo dlouhodobý provoz JE, což se ale nedá říct o</w:t>
      </w:r>
      <w:r w:rsidR="00851303">
        <w:t> </w:t>
      </w:r>
      <w:r>
        <w:t>nezávazném cíli ohledně energetické účinnosti. U jaderných elektráren je jako primární zdroj brán tepelný výkon reaktoru</w:t>
      </w:r>
      <w:r w:rsidR="00F433A0">
        <w:t>,</w:t>
      </w:r>
      <w:r>
        <w:t xml:space="preserve"> a tím </w:t>
      </w:r>
      <w:proofErr w:type="gramStart"/>
      <w:r>
        <w:t>je</w:t>
      </w:r>
      <w:proofErr w:type="gramEnd"/>
      <w:r>
        <w:t xml:space="preserve"> výroba elektřiny z JE uváděna s účinností kolem 33</w:t>
      </w:r>
      <w:r w:rsidR="00F433A0">
        <w:t xml:space="preserve"> </w:t>
      </w:r>
      <w:r>
        <w:t>%. To by mohlo vést k tlaku o náhradu jádra jinými zdroji s vyšší účinností.</w:t>
      </w:r>
    </w:p>
    <w:p w:rsidR="00DD0FC7" w:rsidRDefault="00DD0FC7" w:rsidP="00DD0FC7">
      <w:pPr>
        <w:jc w:val="both"/>
      </w:pPr>
      <w:r>
        <w:t>Tato rizika vedou k tomu</w:t>
      </w:r>
      <w:r w:rsidRPr="00E21E21">
        <w:t xml:space="preserve">, že po odstavení posledního jaderného bloku v Německu v roce 2022, modernějšího designu než bloků </w:t>
      </w:r>
      <w:r>
        <w:t xml:space="preserve">v </w:t>
      </w:r>
      <w:r w:rsidRPr="00E21E21">
        <w:t xml:space="preserve">EDU, v době platnosti nové směrnice EK o jaderné bezpečnosti se dá očekávat velký tlak na odstavení JE VVER 440 MW. Příkladem bylo odstavení </w:t>
      </w:r>
      <w:r>
        <w:t xml:space="preserve">bloků </w:t>
      </w:r>
      <w:r w:rsidRPr="00E21E21">
        <w:t>JE Bohunice V1 při vstupu do EU (</w:t>
      </w:r>
      <w:r>
        <w:t xml:space="preserve">to byly </w:t>
      </w:r>
      <w:r w:rsidRPr="00E21E21">
        <w:t>bloky VVER 440 MW staršího typu V 230), kdy se jednalo o politické rozhodnutí.</w:t>
      </w:r>
    </w:p>
    <w:p w:rsidR="00DD0FC7" w:rsidRPr="00F433A0" w:rsidRDefault="00DD0FC7" w:rsidP="00DD0FC7">
      <w:pPr>
        <w:jc w:val="both"/>
      </w:pPr>
      <w:r w:rsidRPr="00F433A0">
        <w:lastRenderedPageBreak/>
        <w:t>Současná energetická koncepce ČR i politická reprezentace včetně veřejnosti jadernou energetiku většinově podporuje. V horizontu přesahujícím několik volebních období však nelze vyloučit její změnu či změnu postoje české veřejnosti vyvolanou např. velkou havárií na našich nebo zahraničních JE, snížením spolehlivosti a bezpečnosti JE nebo nevhodnou komunikací doma i ve světě.</w:t>
      </w:r>
    </w:p>
    <w:p w:rsidR="00DD0FC7" w:rsidRDefault="00DD0FC7" w:rsidP="00DD0FC7">
      <w:pPr>
        <w:jc w:val="both"/>
      </w:pPr>
      <w:r w:rsidRPr="00206448">
        <w:t xml:space="preserve">Největší investiční náklady spojené s dlouhodobým provozem EDU za rokem 2025 jsou odhadovány na základě dnešních znalostí v letech 2023-2027 v řádu několika desítek miliard korun. Výše investic, jejich rozložení v letech, návaznost a dopady na délku odstávek bloků a celková ekonomická efektivita dlouhodobého provozu EDU jsou předmětem právě probíhající aktualizace </w:t>
      </w:r>
      <w:proofErr w:type="spellStart"/>
      <w:r w:rsidRPr="00206448">
        <w:t>technicko</w:t>
      </w:r>
      <w:r w:rsidR="00FE397A">
        <w:t>-</w:t>
      </w:r>
      <w:r w:rsidRPr="00206448">
        <w:t>ekonomické</w:t>
      </w:r>
      <w:proofErr w:type="spellEnd"/>
      <w:r w:rsidRPr="00206448">
        <w:t xml:space="preserve"> studie</w:t>
      </w:r>
      <w:r>
        <w:t xml:space="preserve"> pro varianty +20 a +30 let.</w:t>
      </w:r>
    </w:p>
    <w:p w:rsidR="00F22585" w:rsidRDefault="00F22585" w:rsidP="00DD0FC7">
      <w:pPr>
        <w:jc w:val="both"/>
        <w:rPr>
          <w:b/>
        </w:rPr>
      </w:pPr>
      <w:r w:rsidRPr="00737B21">
        <w:rPr>
          <w:b/>
        </w:rPr>
        <w:t xml:space="preserve">Základním cílem </w:t>
      </w:r>
      <w:r w:rsidR="00EE44F9">
        <w:rPr>
          <w:b/>
        </w:rPr>
        <w:t xml:space="preserve">opatření pro zajištění dlouhodobého provozu </w:t>
      </w:r>
      <w:r w:rsidRPr="00737B21">
        <w:rPr>
          <w:b/>
        </w:rPr>
        <w:t>je udržení provozu EDU do let 2035-2037 s jejich následným odstavením a likvidací. Pokud to bude technicky, ekonomicky a</w:t>
      </w:r>
      <w:r w:rsidR="00851303">
        <w:rPr>
          <w:b/>
        </w:rPr>
        <w:t> </w:t>
      </w:r>
      <w:r w:rsidRPr="00737B21">
        <w:rPr>
          <w:b/>
        </w:rPr>
        <w:t>bezpečnostně možné, je vhodné prodloužit životnost o dalších deset let.</w:t>
      </w:r>
    </w:p>
    <w:p w:rsidR="00E85554" w:rsidRPr="000D6721" w:rsidRDefault="00E85554" w:rsidP="00E85554">
      <w:pPr>
        <w:pStyle w:val="Nadpis3"/>
      </w:pPr>
      <w:bookmarkStart w:id="264" w:name="_Toc407035587"/>
      <w:bookmarkStart w:id="265" w:name="_Toc420056045"/>
      <w:r w:rsidRPr="000D6721">
        <w:t>Opatření pro oblast dlouhodobého provozu stávajících JE</w:t>
      </w:r>
      <w:bookmarkEnd w:id="264"/>
      <w:bookmarkEnd w:id="265"/>
    </w:p>
    <w:p w:rsidR="007B7629" w:rsidRPr="000D6721" w:rsidRDefault="007B7629" w:rsidP="00591E2F">
      <w:pPr>
        <w:pStyle w:val="Odstavecseseznamem"/>
        <w:numPr>
          <w:ilvl w:val="0"/>
          <w:numId w:val="96"/>
        </w:numPr>
        <w:spacing w:after="120"/>
        <w:ind w:left="714" w:hanging="357"/>
        <w:contextualSpacing w:val="0"/>
        <w:jc w:val="both"/>
      </w:pPr>
      <w:r w:rsidRPr="000D6721">
        <w:t xml:space="preserve">Na národní úrovni optimalizovat požadavky mezinárodních a nadnárodních institucí ke zvyšování bezpečnosti </w:t>
      </w:r>
      <w:r w:rsidR="00DD0436">
        <w:t>jaderných zařízení</w:t>
      </w:r>
      <w:r w:rsidRPr="000D6721">
        <w:t xml:space="preserve"> s ohledem na reálnost  nákladových dopadů</w:t>
      </w:r>
      <w:r w:rsidR="00FA4108">
        <w:t>.</w:t>
      </w:r>
    </w:p>
    <w:p w:rsidR="007B7629" w:rsidRPr="000D6721" w:rsidRDefault="007B7629" w:rsidP="00591E2F">
      <w:pPr>
        <w:pStyle w:val="Odstavecseseznamem"/>
        <w:numPr>
          <w:ilvl w:val="1"/>
          <w:numId w:val="106"/>
        </w:numPr>
        <w:spacing w:before="120" w:after="0"/>
        <w:ind w:left="1434" w:hanging="357"/>
        <w:contextualSpacing w:val="0"/>
        <w:jc w:val="both"/>
      </w:pPr>
      <w:r w:rsidRPr="00CD5E88">
        <w:rPr>
          <w:u w:val="single"/>
        </w:rPr>
        <w:t>Zajistí:</w:t>
      </w:r>
      <w:r w:rsidRPr="000D6721">
        <w:t>  SÚJB, spolupracuje MPO</w:t>
      </w:r>
    </w:p>
    <w:p w:rsidR="000D6721" w:rsidRPr="000D6721" w:rsidRDefault="000D6721" w:rsidP="00591E2F">
      <w:pPr>
        <w:pStyle w:val="Odstavecseseznamem"/>
        <w:numPr>
          <w:ilvl w:val="1"/>
          <w:numId w:val="106"/>
        </w:numPr>
        <w:spacing w:after="120"/>
        <w:ind w:left="1434" w:hanging="357"/>
        <w:contextualSpacing w:val="0"/>
        <w:jc w:val="both"/>
      </w:pPr>
      <w:r w:rsidRPr="00CD5E88">
        <w:rPr>
          <w:u w:val="single"/>
        </w:rPr>
        <w:t>Termín:</w:t>
      </w:r>
      <w:r w:rsidRPr="000D6721">
        <w:t xml:space="preserve"> průběžně</w:t>
      </w:r>
    </w:p>
    <w:p w:rsidR="007B7629" w:rsidRPr="000D6721" w:rsidRDefault="007B7629" w:rsidP="00591E2F">
      <w:pPr>
        <w:pStyle w:val="Odstavecseseznamem"/>
        <w:numPr>
          <w:ilvl w:val="0"/>
          <w:numId w:val="96"/>
        </w:numPr>
        <w:spacing w:after="120"/>
        <w:ind w:left="714" w:hanging="357"/>
        <w:contextualSpacing w:val="0"/>
        <w:jc w:val="both"/>
      </w:pPr>
      <w:r w:rsidRPr="000D6721">
        <w:t>Podpořit externí komunikační strategii ČEZ pro dlouhodobý provoz stávajících provozovaných JE</w:t>
      </w:r>
      <w:r w:rsidR="00FA4108">
        <w:t>.</w:t>
      </w:r>
    </w:p>
    <w:p w:rsidR="007B7629" w:rsidRPr="000D6721" w:rsidRDefault="007B7629" w:rsidP="00591E2F">
      <w:pPr>
        <w:pStyle w:val="Odstavecseseznamem"/>
        <w:numPr>
          <w:ilvl w:val="1"/>
          <w:numId w:val="107"/>
        </w:numPr>
        <w:spacing w:before="120" w:after="0"/>
        <w:ind w:left="1434" w:hanging="357"/>
        <w:contextualSpacing w:val="0"/>
        <w:jc w:val="both"/>
      </w:pPr>
      <w:r w:rsidRPr="00CD5E88">
        <w:rPr>
          <w:u w:val="single"/>
        </w:rPr>
        <w:t>Zajistí:</w:t>
      </w:r>
      <w:r w:rsidRPr="000D6721">
        <w:t xml:space="preserve"> MPO, spolupracuje Úřad vlády </w:t>
      </w:r>
    </w:p>
    <w:p w:rsidR="000D6721" w:rsidRPr="000D6721" w:rsidRDefault="000D6721" w:rsidP="00591E2F">
      <w:pPr>
        <w:pStyle w:val="Odstavecseseznamem"/>
        <w:numPr>
          <w:ilvl w:val="1"/>
          <w:numId w:val="107"/>
        </w:numPr>
        <w:spacing w:after="120"/>
        <w:ind w:left="1434" w:hanging="357"/>
        <w:contextualSpacing w:val="0"/>
        <w:jc w:val="both"/>
      </w:pPr>
      <w:r w:rsidRPr="00CD5E88">
        <w:rPr>
          <w:u w:val="single"/>
        </w:rPr>
        <w:t>Termín:</w:t>
      </w:r>
      <w:r w:rsidRPr="000D6721">
        <w:t xml:space="preserve"> průběžně</w:t>
      </w:r>
    </w:p>
    <w:p w:rsidR="007B7629" w:rsidRPr="000D6721" w:rsidRDefault="007B7629" w:rsidP="00591E2F">
      <w:pPr>
        <w:pStyle w:val="Odstavecseseznamem"/>
        <w:numPr>
          <w:ilvl w:val="0"/>
          <w:numId w:val="96"/>
        </w:numPr>
        <w:spacing w:after="120"/>
        <w:ind w:left="714" w:hanging="357"/>
        <w:contextualSpacing w:val="0"/>
        <w:jc w:val="both"/>
      </w:pPr>
      <w:r w:rsidRPr="000D6721">
        <w:t>Zintenzivnit komunikaci/spolupráci v rámci států provozujících bloky VVER s cílem udržet  dlouhodobou akceptovatelnost technologie VVER</w:t>
      </w:r>
      <w:r w:rsidR="009A2BE8">
        <w:t xml:space="preserve"> </w:t>
      </w:r>
      <w:r w:rsidRPr="000D6721">
        <w:t xml:space="preserve">440 jako bezpečnostně srovnatelného standardu s bloky jiných výrobců/výkonů. </w:t>
      </w:r>
    </w:p>
    <w:p w:rsidR="007B7629" w:rsidRPr="000D6721" w:rsidRDefault="007B7629" w:rsidP="00591E2F">
      <w:pPr>
        <w:pStyle w:val="Odstavecseseznamem"/>
        <w:numPr>
          <w:ilvl w:val="1"/>
          <w:numId w:val="108"/>
        </w:numPr>
        <w:spacing w:before="120" w:after="0"/>
        <w:ind w:left="1434" w:hanging="357"/>
        <w:contextualSpacing w:val="0"/>
        <w:jc w:val="both"/>
      </w:pPr>
      <w:r w:rsidRPr="00CD5E88">
        <w:rPr>
          <w:u w:val="single"/>
        </w:rPr>
        <w:t>Zajistí:</w:t>
      </w:r>
      <w:r w:rsidRPr="000D6721">
        <w:t xml:space="preserve"> MPO, spolupracuje ČEZ, SÚJB</w:t>
      </w:r>
    </w:p>
    <w:p w:rsidR="000D6721" w:rsidRPr="000D6721" w:rsidRDefault="000D6721" w:rsidP="00591E2F">
      <w:pPr>
        <w:pStyle w:val="Odstavecseseznamem"/>
        <w:numPr>
          <w:ilvl w:val="1"/>
          <w:numId w:val="108"/>
        </w:numPr>
        <w:spacing w:after="120"/>
        <w:ind w:left="1434" w:hanging="357"/>
        <w:contextualSpacing w:val="0"/>
        <w:jc w:val="both"/>
      </w:pPr>
      <w:r w:rsidRPr="00CD5E88">
        <w:rPr>
          <w:u w:val="single"/>
        </w:rPr>
        <w:t>Termín:</w:t>
      </w:r>
      <w:r w:rsidRPr="000D6721">
        <w:t xml:space="preserve"> průběžně</w:t>
      </w:r>
    </w:p>
    <w:p w:rsidR="007B7629" w:rsidRPr="000D6721" w:rsidRDefault="007B7629" w:rsidP="00591E2F">
      <w:pPr>
        <w:pStyle w:val="Odstavecseseznamem"/>
        <w:numPr>
          <w:ilvl w:val="0"/>
          <w:numId w:val="96"/>
        </w:numPr>
        <w:spacing w:after="120"/>
        <w:ind w:left="714" w:hanging="357"/>
        <w:contextualSpacing w:val="0"/>
        <w:jc w:val="both"/>
      </w:pPr>
      <w:r w:rsidRPr="000D6721">
        <w:t>Pro každou lokalitu jaderné výrobny zpracovat socioekonomickou studii (TIA) dopadů provozu/výstavby JE na mikroregion</w:t>
      </w:r>
      <w:r w:rsidR="00FA4108">
        <w:t>.</w:t>
      </w:r>
    </w:p>
    <w:p w:rsidR="007B7629" w:rsidRPr="000D6721" w:rsidRDefault="007B7629" w:rsidP="00591E2F">
      <w:pPr>
        <w:pStyle w:val="Odstavecseseznamem"/>
        <w:numPr>
          <w:ilvl w:val="1"/>
          <w:numId w:val="109"/>
        </w:numPr>
        <w:spacing w:before="120" w:after="0"/>
        <w:ind w:left="1434" w:hanging="357"/>
        <w:contextualSpacing w:val="0"/>
        <w:jc w:val="both"/>
      </w:pPr>
      <w:r w:rsidRPr="00CD5E88">
        <w:rPr>
          <w:u w:val="single"/>
        </w:rPr>
        <w:t>Zajistí:</w:t>
      </w:r>
      <w:r w:rsidRPr="000D6721">
        <w:t xml:space="preserve"> příslušný kraj, spolupracuje MPO, ČEZ</w:t>
      </w:r>
    </w:p>
    <w:p w:rsidR="000D6721" w:rsidRPr="000D6721" w:rsidRDefault="000D6721" w:rsidP="00591E2F">
      <w:pPr>
        <w:pStyle w:val="Odstavecseseznamem"/>
        <w:numPr>
          <w:ilvl w:val="1"/>
          <w:numId w:val="109"/>
        </w:numPr>
        <w:spacing w:after="240"/>
        <w:ind w:left="1434" w:hanging="357"/>
        <w:jc w:val="both"/>
      </w:pPr>
      <w:r w:rsidRPr="00CD5E88">
        <w:rPr>
          <w:u w:val="single"/>
        </w:rPr>
        <w:t>Termín:</w:t>
      </w:r>
      <w:r w:rsidRPr="000D6721">
        <w:t xml:space="preserve"> 31. 12. 2015</w:t>
      </w:r>
    </w:p>
    <w:p w:rsidR="00CA064F" w:rsidRDefault="000064B2" w:rsidP="00F433A0">
      <w:pPr>
        <w:pStyle w:val="Nadpis2"/>
      </w:pPr>
      <w:bookmarkStart w:id="266" w:name="_Toc407035588"/>
      <w:bookmarkStart w:id="267" w:name="_Toc420056046"/>
      <w:r w:rsidRPr="00F433A0">
        <w:t>Řešení konce palivového cyklu</w:t>
      </w:r>
      <w:r w:rsidR="00CA064F" w:rsidRPr="00F433A0">
        <w:t xml:space="preserve"> </w:t>
      </w:r>
      <w:r w:rsidR="00AF64EC" w:rsidRPr="00F433A0">
        <w:t>– kapacita a bezpečnost úložišť</w:t>
      </w:r>
      <w:bookmarkEnd w:id="266"/>
      <w:bookmarkEnd w:id="267"/>
      <w:r w:rsidR="002C220D" w:rsidRPr="00F433A0">
        <w:t xml:space="preserve"> </w:t>
      </w:r>
    </w:p>
    <w:p w:rsidR="004B10B9" w:rsidRDefault="001629C9" w:rsidP="001629C9">
      <w:pPr>
        <w:jc w:val="both"/>
        <w:rPr>
          <w:rFonts w:cs="Arial"/>
        </w:rPr>
      </w:pPr>
      <w:r w:rsidRPr="002E4520">
        <w:rPr>
          <w:rFonts w:cs="Arial"/>
        </w:rPr>
        <w:t xml:space="preserve">Základním konceptem nakládání </w:t>
      </w:r>
      <w:r w:rsidR="00FA4108">
        <w:rPr>
          <w:rFonts w:cs="Arial"/>
        </w:rPr>
        <w:t xml:space="preserve">s </w:t>
      </w:r>
      <w:r w:rsidRPr="002E4520">
        <w:rPr>
          <w:rFonts w:cs="Arial"/>
        </w:rPr>
        <w:t>VJP je jeho hlubinné uložení do úložiště vybudovaného na území ČR. S ohledem na kapacitu skladovacích prostor a strategii konečné likvidace je nezbytné</w:t>
      </w:r>
      <w:r w:rsidR="00D547E0" w:rsidRPr="002E4520">
        <w:rPr>
          <w:rFonts w:cs="Arial"/>
        </w:rPr>
        <w:t xml:space="preserve"> zajistit dlouhodobé bezpečné uložení VJP.</w:t>
      </w:r>
    </w:p>
    <w:p w:rsidR="004B10B9" w:rsidRDefault="004B10B9">
      <w:pPr>
        <w:rPr>
          <w:rFonts w:cs="Arial"/>
        </w:rPr>
      </w:pPr>
      <w:r>
        <w:rPr>
          <w:rFonts w:cs="Arial"/>
        </w:rPr>
        <w:br w:type="page"/>
      </w:r>
    </w:p>
    <w:p w:rsidR="00D547E0" w:rsidRPr="002B76E0" w:rsidRDefault="00D547E0" w:rsidP="00D547E0">
      <w:pPr>
        <w:pStyle w:val="Nadpis3"/>
      </w:pPr>
      <w:bookmarkStart w:id="268" w:name="_Toc407035589"/>
      <w:bookmarkStart w:id="269" w:name="_Toc420056047"/>
      <w:r w:rsidRPr="00C56A7A">
        <w:lastRenderedPageBreak/>
        <w:t xml:space="preserve">Opatření pro oblast </w:t>
      </w:r>
      <w:r>
        <w:t>dlouhodobého provozu stávajících JE</w:t>
      </w:r>
      <w:bookmarkEnd w:id="268"/>
      <w:bookmarkEnd w:id="269"/>
    </w:p>
    <w:p w:rsidR="00D547E0" w:rsidRPr="002E4520" w:rsidRDefault="00D547E0" w:rsidP="00591E2F">
      <w:pPr>
        <w:pStyle w:val="Odstavecseseznamem"/>
        <w:numPr>
          <w:ilvl w:val="0"/>
          <w:numId w:val="76"/>
        </w:numPr>
        <w:spacing w:after="120"/>
        <w:ind w:left="714" w:hanging="357"/>
        <w:contextualSpacing w:val="0"/>
        <w:jc w:val="both"/>
        <w:rPr>
          <w:rFonts w:cs="Arial"/>
        </w:rPr>
      </w:pPr>
      <w:r w:rsidRPr="002E4520">
        <w:rPr>
          <w:rFonts w:cs="Arial"/>
        </w:rPr>
        <w:t xml:space="preserve">Uvést do provozu hlubinné úložiště okolo roku 2065. </w:t>
      </w:r>
    </w:p>
    <w:p w:rsidR="00D547E0" w:rsidRPr="002E4520" w:rsidRDefault="00D547E0" w:rsidP="00591E2F">
      <w:pPr>
        <w:pStyle w:val="Odstavecseseznamem"/>
        <w:numPr>
          <w:ilvl w:val="1"/>
          <w:numId w:val="76"/>
        </w:numPr>
        <w:spacing w:before="120" w:after="0"/>
        <w:ind w:left="1434" w:hanging="357"/>
        <w:contextualSpacing w:val="0"/>
        <w:jc w:val="both"/>
        <w:rPr>
          <w:rFonts w:cs="Arial"/>
        </w:rPr>
      </w:pPr>
      <w:r w:rsidRPr="00CD5E88">
        <w:rPr>
          <w:rFonts w:cs="Arial"/>
          <w:u w:val="single"/>
        </w:rPr>
        <w:t>Zajistí:</w:t>
      </w:r>
      <w:r w:rsidRPr="002E4520">
        <w:rPr>
          <w:rFonts w:cs="Arial"/>
        </w:rPr>
        <w:t xml:space="preserve"> SÚRAO</w:t>
      </w:r>
    </w:p>
    <w:p w:rsidR="00D547E0" w:rsidRPr="002E4520" w:rsidRDefault="00D547E0" w:rsidP="00591E2F">
      <w:pPr>
        <w:pStyle w:val="Odstavecseseznamem"/>
        <w:numPr>
          <w:ilvl w:val="1"/>
          <w:numId w:val="76"/>
        </w:numPr>
        <w:spacing w:after="120"/>
        <w:ind w:left="1434" w:hanging="357"/>
        <w:contextualSpacing w:val="0"/>
        <w:jc w:val="both"/>
        <w:rPr>
          <w:rFonts w:cs="Arial"/>
        </w:rPr>
      </w:pPr>
      <w:r w:rsidRPr="00CD5E88">
        <w:rPr>
          <w:rFonts w:cs="Arial"/>
          <w:u w:val="single"/>
        </w:rPr>
        <w:t>Termín:</w:t>
      </w:r>
      <w:r w:rsidRPr="002E4520">
        <w:rPr>
          <w:rFonts w:cs="Arial"/>
        </w:rPr>
        <w:t xml:space="preserve"> </w:t>
      </w:r>
      <w:r w:rsidR="008C117D">
        <w:rPr>
          <w:rFonts w:cs="Arial"/>
        </w:rPr>
        <w:t xml:space="preserve">dle </w:t>
      </w:r>
      <w:r w:rsidR="00A43BE3">
        <w:rPr>
          <w:rFonts w:cs="Arial"/>
        </w:rPr>
        <w:t>Koncepce nakládání s RAO a VJP</w:t>
      </w:r>
    </w:p>
    <w:p w:rsidR="00D547E0" w:rsidRPr="002E4520" w:rsidRDefault="00D547E0" w:rsidP="00591E2F">
      <w:pPr>
        <w:pStyle w:val="Odstavecseseznamem"/>
        <w:numPr>
          <w:ilvl w:val="0"/>
          <w:numId w:val="76"/>
        </w:numPr>
        <w:spacing w:after="120"/>
        <w:ind w:left="714" w:hanging="357"/>
        <w:contextualSpacing w:val="0"/>
        <w:jc w:val="both"/>
        <w:rPr>
          <w:rFonts w:cs="Arial"/>
        </w:rPr>
      </w:pPr>
      <w:r w:rsidRPr="002E4520">
        <w:rPr>
          <w:rFonts w:cs="Arial"/>
        </w:rPr>
        <w:t xml:space="preserve">Provést výběr lokality by do roku 2025. </w:t>
      </w:r>
    </w:p>
    <w:p w:rsidR="00D547E0" w:rsidRPr="002E4520" w:rsidRDefault="00D547E0" w:rsidP="00591E2F">
      <w:pPr>
        <w:pStyle w:val="Odstavecseseznamem"/>
        <w:numPr>
          <w:ilvl w:val="1"/>
          <w:numId w:val="76"/>
        </w:numPr>
        <w:spacing w:before="120" w:after="0"/>
        <w:ind w:left="1434" w:hanging="357"/>
        <w:contextualSpacing w:val="0"/>
        <w:jc w:val="both"/>
        <w:rPr>
          <w:rFonts w:cs="Arial"/>
        </w:rPr>
      </w:pPr>
      <w:r w:rsidRPr="00CD5E88">
        <w:rPr>
          <w:rFonts w:cs="Arial"/>
          <w:u w:val="single"/>
        </w:rPr>
        <w:t>Zajistí:</w:t>
      </w:r>
      <w:r w:rsidRPr="002E4520">
        <w:rPr>
          <w:rFonts w:cs="Arial"/>
        </w:rPr>
        <w:t xml:space="preserve"> SÚRAO</w:t>
      </w:r>
    </w:p>
    <w:p w:rsidR="00D547E0" w:rsidRPr="002E4520" w:rsidRDefault="00D547E0" w:rsidP="00591E2F">
      <w:pPr>
        <w:pStyle w:val="Odstavecseseznamem"/>
        <w:numPr>
          <w:ilvl w:val="1"/>
          <w:numId w:val="76"/>
        </w:numPr>
        <w:spacing w:after="120"/>
        <w:ind w:left="1434" w:hanging="357"/>
        <w:contextualSpacing w:val="0"/>
        <w:jc w:val="both"/>
        <w:rPr>
          <w:rFonts w:cs="Arial"/>
        </w:rPr>
      </w:pPr>
      <w:r w:rsidRPr="00CD5E88">
        <w:rPr>
          <w:rFonts w:cs="Arial"/>
          <w:u w:val="single"/>
        </w:rPr>
        <w:t>Termín:</w:t>
      </w:r>
      <w:r w:rsidR="00A43BE3">
        <w:rPr>
          <w:rFonts w:cs="Arial"/>
        </w:rPr>
        <w:t xml:space="preserve"> dle Koncepce nakládání s RAO a VJP</w:t>
      </w:r>
    </w:p>
    <w:p w:rsidR="00D547E0" w:rsidRPr="002E4520" w:rsidRDefault="00D547E0" w:rsidP="00591E2F">
      <w:pPr>
        <w:pStyle w:val="Odstavecseseznamem"/>
        <w:numPr>
          <w:ilvl w:val="0"/>
          <w:numId w:val="76"/>
        </w:numPr>
        <w:spacing w:after="120"/>
        <w:ind w:left="714" w:hanging="357"/>
        <w:contextualSpacing w:val="0"/>
        <w:jc w:val="both"/>
        <w:rPr>
          <w:rFonts w:cs="Arial"/>
        </w:rPr>
      </w:pPr>
      <w:r w:rsidRPr="002E4520">
        <w:rPr>
          <w:rFonts w:cs="Arial"/>
        </w:rPr>
        <w:t>Zahájit výstavbu hlubinného úložiště po roce 2050</w:t>
      </w:r>
      <w:r w:rsidR="00FA4108">
        <w:rPr>
          <w:rFonts w:cs="Arial"/>
        </w:rPr>
        <w:t>.</w:t>
      </w:r>
    </w:p>
    <w:p w:rsidR="00D547E0" w:rsidRPr="002E4520" w:rsidRDefault="00D547E0" w:rsidP="00591E2F">
      <w:pPr>
        <w:pStyle w:val="Odstavecseseznamem"/>
        <w:numPr>
          <w:ilvl w:val="1"/>
          <w:numId w:val="76"/>
        </w:numPr>
        <w:spacing w:before="120" w:after="0"/>
        <w:ind w:left="1434" w:hanging="357"/>
        <w:contextualSpacing w:val="0"/>
        <w:jc w:val="both"/>
        <w:rPr>
          <w:rFonts w:cs="Arial"/>
        </w:rPr>
      </w:pPr>
      <w:r w:rsidRPr="00CD5E88">
        <w:rPr>
          <w:rFonts w:cs="Arial"/>
          <w:u w:val="single"/>
        </w:rPr>
        <w:t>Zajistí:</w:t>
      </w:r>
      <w:r w:rsidRPr="002E4520">
        <w:rPr>
          <w:rFonts w:cs="Arial"/>
        </w:rPr>
        <w:t xml:space="preserve"> SÚRAO</w:t>
      </w:r>
    </w:p>
    <w:p w:rsidR="00D547E0" w:rsidRPr="002E4520" w:rsidRDefault="00D547E0" w:rsidP="00591E2F">
      <w:pPr>
        <w:pStyle w:val="Odstavecseseznamem"/>
        <w:numPr>
          <w:ilvl w:val="1"/>
          <w:numId w:val="76"/>
        </w:numPr>
        <w:spacing w:after="120"/>
        <w:ind w:left="1434" w:hanging="357"/>
        <w:contextualSpacing w:val="0"/>
        <w:jc w:val="both"/>
        <w:rPr>
          <w:rFonts w:cs="Arial"/>
        </w:rPr>
      </w:pPr>
      <w:r w:rsidRPr="00CD5E88">
        <w:rPr>
          <w:rFonts w:cs="Arial"/>
          <w:u w:val="single"/>
        </w:rPr>
        <w:t>Termín:</w:t>
      </w:r>
      <w:r w:rsidR="00A43BE3" w:rsidRPr="00A43BE3">
        <w:rPr>
          <w:rFonts w:cs="Arial"/>
        </w:rPr>
        <w:t xml:space="preserve"> </w:t>
      </w:r>
      <w:r w:rsidR="00A43BE3">
        <w:rPr>
          <w:rFonts w:cs="Arial"/>
        </w:rPr>
        <w:t>dle Koncepce nakládání s RAO a VJP</w:t>
      </w:r>
    </w:p>
    <w:p w:rsidR="00D547E0" w:rsidRPr="002E4520" w:rsidRDefault="00D547E0" w:rsidP="00591E2F">
      <w:pPr>
        <w:pStyle w:val="Odstavecseseznamem"/>
        <w:numPr>
          <w:ilvl w:val="0"/>
          <w:numId w:val="76"/>
        </w:numPr>
        <w:spacing w:after="120"/>
        <w:ind w:left="714" w:hanging="357"/>
        <w:contextualSpacing w:val="0"/>
        <w:jc w:val="both"/>
        <w:rPr>
          <w:rFonts w:cs="Arial"/>
        </w:rPr>
      </w:pPr>
      <w:r w:rsidRPr="002E4520">
        <w:rPr>
          <w:rFonts w:cs="Arial"/>
        </w:rPr>
        <w:t xml:space="preserve">Zajistit, že hlubinné úložiště </w:t>
      </w:r>
      <w:proofErr w:type="gramStart"/>
      <w:r w:rsidRPr="002E4520">
        <w:rPr>
          <w:rFonts w:cs="Arial"/>
        </w:rPr>
        <w:t>bude</w:t>
      </w:r>
      <w:proofErr w:type="gramEnd"/>
      <w:r w:rsidRPr="002E4520">
        <w:rPr>
          <w:rFonts w:cs="Arial"/>
        </w:rPr>
        <w:t xml:space="preserve"> schopno kapacitně pokrýt objem VJP v rozsahu předpokládané výroby v </w:t>
      </w:r>
      <w:proofErr w:type="gramStart"/>
      <w:r w:rsidRPr="002E4520">
        <w:rPr>
          <w:rFonts w:cs="Arial"/>
        </w:rPr>
        <w:t>JE</w:t>
      </w:r>
      <w:proofErr w:type="gramEnd"/>
      <w:r w:rsidRPr="002E4520">
        <w:rPr>
          <w:rFonts w:cs="Arial"/>
        </w:rPr>
        <w:t xml:space="preserve"> do roku 2</w:t>
      </w:r>
      <w:r w:rsidR="008C117D">
        <w:rPr>
          <w:rFonts w:cs="Arial"/>
        </w:rPr>
        <w:t>10</w:t>
      </w:r>
      <w:r w:rsidRPr="002E4520">
        <w:rPr>
          <w:rFonts w:cs="Arial"/>
        </w:rPr>
        <w:t>0</w:t>
      </w:r>
      <w:r w:rsidR="00FA4108">
        <w:rPr>
          <w:rFonts w:cs="Arial"/>
        </w:rPr>
        <w:t>,</w:t>
      </w:r>
      <w:r w:rsidRPr="002E4520">
        <w:rPr>
          <w:rFonts w:cs="Arial"/>
        </w:rPr>
        <w:t xml:space="preserve"> včetně VAO z likvidace samotných elektráren a rezer</w:t>
      </w:r>
      <w:r w:rsidR="00FA4108">
        <w:rPr>
          <w:rFonts w:cs="Arial"/>
        </w:rPr>
        <w:t>vy na VAO v případě havárie JE.</w:t>
      </w:r>
    </w:p>
    <w:p w:rsidR="00D547E0" w:rsidRPr="002E4520" w:rsidRDefault="00D547E0" w:rsidP="00591E2F">
      <w:pPr>
        <w:pStyle w:val="Odstavecseseznamem"/>
        <w:numPr>
          <w:ilvl w:val="1"/>
          <w:numId w:val="76"/>
        </w:numPr>
        <w:spacing w:before="120" w:after="0"/>
        <w:ind w:left="1434" w:hanging="357"/>
        <w:contextualSpacing w:val="0"/>
        <w:jc w:val="both"/>
        <w:rPr>
          <w:rFonts w:cs="Arial"/>
        </w:rPr>
      </w:pPr>
      <w:r w:rsidRPr="00CD5E88">
        <w:rPr>
          <w:rFonts w:cs="Arial"/>
          <w:u w:val="single"/>
        </w:rPr>
        <w:t>Zajistí:</w:t>
      </w:r>
      <w:r w:rsidRPr="002E4520">
        <w:rPr>
          <w:rFonts w:cs="Arial"/>
        </w:rPr>
        <w:t xml:space="preserve"> SÚRAO</w:t>
      </w:r>
    </w:p>
    <w:p w:rsidR="00D547E0" w:rsidRPr="002E4520" w:rsidRDefault="00D547E0" w:rsidP="00591E2F">
      <w:pPr>
        <w:pStyle w:val="Odstavecseseznamem"/>
        <w:numPr>
          <w:ilvl w:val="1"/>
          <w:numId w:val="76"/>
        </w:numPr>
        <w:spacing w:after="120"/>
        <w:ind w:left="1434" w:hanging="357"/>
        <w:contextualSpacing w:val="0"/>
        <w:jc w:val="both"/>
        <w:rPr>
          <w:rFonts w:cs="Arial"/>
        </w:rPr>
      </w:pPr>
      <w:r w:rsidRPr="00CD5E88">
        <w:rPr>
          <w:rFonts w:cs="Arial"/>
          <w:u w:val="single"/>
        </w:rPr>
        <w:t>Termín:</w:t>
      </w:r>
      <w:r w:rsidR="00A43BE3">
        <w:rPr>
          <w:rFonts w:cs="Arial"/>
        </w:rPr>
        <w:t xml:space="preserve"> dle Koncepce nakládání s RAO a VJP</w:t>
      </w:r>
    </w:p>
    <w:p w:rsidR="00D547E0" w:rsidRPr="002E4520" w:rsidRDefault="00D547E0" w:rsidP="00591E2F">
      <w:pPr>
        <w:pStyle w:val="Odstavecseseznamem"/>
        <w:numPr>
          <w:ilvl w:val="0"/>
          <w:numId w:val="76"/>
        </w:numPr>
        <w:spacing w:after="120"/>
        <w:ind w:left="714" w:hanging="357"/>
        <w:contextualSpacing w:val="0"/>
        <w:jc w:val="both"/>
        <w:rPr>
          <w:rFonts w:cs="Arial"/>
        </w:rPr>
      </w:pPr>
      <w:r w:rsidRPr="002E4520">
        <w:rPr>
          <w:rFonts w:cs="Arial"/>
        </w:rPr>
        <w:t xml:space="preserve">Zajistit, aby provoz přípovrchových úložišť NAO a SAO byl včas prodlužován a rozšiřován tak, aby byly schopny absorbovat všechny NAO/SAO z provozu jaderných zařízení, průmyslu a zdravotnictví, včetně odpadů z konečné likvidace jaderných zařízení. </w:t>
      </w:r>
    </w:p>
    <w:p w:rsidR="00D547E0" w:rsidRPr="002E4520" w:rsidRDefault="00D547E0" w:rsidP="00591E2F">
      <w:pPr>
        <w:pStyle w:val="Odstavecseseznamem"/>
        <w:numPr>
          <w:ilvl w:val="1"/>
          <w:numId w:val="76"/>
        </w:numPr>
        <w:spacing w:before="120" w:after="0"/>
        <w:ind w:left="1434" w:hanging="357"/>
        <w:contextualSpacing w:val="0"/>
        <w:jc w:val="both"/>
        <w:rPr>
          <w:rFonts w:cs="Arial"/>
        </w:rPr>
      </w:pPr>
      <w:r w:rsidRPr="00CD5E88">
        <w:rPr>
          <w:rFonts w:cs="Arial"/>
          <w:u w:val="single"/>
        </w:rPr>
        <w:t>Zajistí:</w:t>
      </w:r>
      <w:r w:rsidRPr="002E4520">
        <w:rPr>
          <w:rFonts w:cs="Arial"/>
        </w:rPr>
        <w:t xml:space="preserve"> SÚRAO</w:t>
      </w:r>
    </w:p>
    <w:p w:rsidR="00D547E0" w:rsidRDefault="00D547E0" w:rsidP="00591E2F">
      <w:pPr>
        <w:pStyle w:val="Odstavecseseznamem"/>
        <w:numPr>
          <w:ilvl w:val="1"/>
          <w:numId w:val="76"/>
        </w:numPr>
        <w:spacing w:after="240"/>
        <w:ind w:left="1434" w:hanging="357"/>
        <w:jc w:val="both"/>
        <w:rPr>
          <w:rFonts w:cs="Arial"/>
        </w:rPr>
      </w:pPr>
      <w:r w:rsidRPr="00CD5E88">
        <w:rPr>
          <w:rFonts w:cs="Arial"/>
          <w:u w:val="single"/>
        </w:rPr>
        <w:t>Termín:</w:t>
      </w:r>
      <w:r w:rsidR="00A43BE3">
        <w:rPr>
          <w:rFonts w:cs="Arial"/>
        </w:rPr>
        <w:t xml:space="preserve"> průběžně dle Koncepce nakládání s RAO a VJP</w:t>
      </w:r>
    </w:p>
    <w:p w:rsidR="000064B2" w:rsidRPr="00F433A0" w:rsidRDefault="00CA064F" w:rsidP="00F433A0">
      <w:pPr>
        <w:pStyle w:val="Nadpis2"/>
      </w:pPr>
      <w:bookmarkStart w:id="270" w:name="_Toc407035590"/>
      <w:bookmarkStart w:id="271" w:name="_Toc420056048"/>
      <w:r w:rsidRPr="00F433A0">
        <w:t>Příprava na odstavování JE</w:t>
      </w:r>
      <w:bookmarkEnd w:id="270"/>
      <w:bookmarkEnd w:id="271"/>
      <w:r w:rsidR="002C220D" w:rsidRPr="00F433A0">
        <w:t xml:space="preserve"> </w:t>
      </w:r>
    </w:p>
    <w:p w:rsidR="00E21E21" w:rsidRPr="00327455" w:rsidRDefault="00E21E21" w:rsidP="00E21E21">
      <w:pPr>
        <w:jc w:val="both"/>
      </w:pPr>
      <w:r w:rsidRPr="00327455">
        <w:t>V návaznosti na cílové rozhodnutí o variantě prodloužení provozu EDU musí být připraven příslušný program odstavování jednotlivých bloků EDU a jeho synchronizace s výstavbou dalšího bloku/bloků v lokalitě EDU.</w:t>
      </w:r>
    </w:p>
    <w:p w:rsidR="00E21E21" w:rsidRPr="00327455" w:rsidRDefault="00E21E21" w:rsidP="00E21E21">
      <w:pPr>
        <w:jc w:val="both"/>
      </w:pPr>
      <w:r w:rsidRPr="00327455">
        <w:t xml:space="preserve">Obdobným způsobem by mělo být postupováno u ETE, kde by měly být v budoucnu připraveny obdobné programy LTO řešící variantní prodloužení provozu obou bloků až na 60 let. </w:t>
      </w:r>
    </w:p>
    <w:p w:rsidR="00851303" w:rsidRDefault="00931B23" w:rsidP="00931B23">
      <w:pPr>
        <w:jc w:val="both"/>
        <w:rPr>
          <w:b/>
        </w:rPr>
      </w:pPr>
      <w:r w:rsidRPr="00737B21">
        <w:rPr>
          <w:b/>
        </w:rPr>
        <w:t xml:space="preserve">Z pohledu státu je klíčové, aby bylo ukončení provozu </w:t>
      </w:r>
      <w:proofErr w:type="gramStart"/>
      <w:r w:rsidRPr="00737B21">
        <w:rPr>
          <w:b/>
        </w:rPr>
        <w:t>JE</w:t>
      </w:r>
      <w:proofErr w:type="gramEnd"/>
      <w:r w:rsidRPr="00737B21">
        <w:rPr>
          <w:b/>
        </w:rPr>
        <w:t xml:space="preserve"> a jejich odstranění provedeno s minimálními negativními dopady na životní prostředí, při dodržení nejvyšších světových standardů. </w:t>
      </w:r>
      <w:r>
        <w:rPr>
          <w:b/>
        </w:rPr>
        <w:t>Načasování li</w:t>
      </w:r>
      <w:r w:rsidRPr="00737B21">
        <w:rPr>
          <w:b/>
        </w:rPr>
        <w:t xml:space="preserve">kvidace jaderných elektráren po jejich odstavení </w:t>
      </w:r>
      <w:r>
        <w:rPr>
          <w:b/>
        </w:rPr>
        <w:t xml:space="preserve">bude </w:t>
      </w:r>
      <w:r w:rsidRPr="00737B21">
        <w:rPr>
          <w:b/>
        </w:rPr>
        <w:t xml:space="preserve">provedena </w:t>
      </w:r>
      <w:r>
        <w:rPr>
          <w:b/>
        </w:rPr>
        <w:t xml:space="preserve">podle zvoleného a schváleného postupu současného provozovatele zdroje. </w:t>
      </w:r>
    </w:p>
    <w:p w:rsidR="00851303" w:rsidRDefault="00851303">
      <w:pPr>
        <w:rPr>
          <w:b/>
        </w:rPr>
      </w:pPr>
      <w:r>
        <w:rPr>
          <w:b/>
        </w:rPr>
        <w:br w:type="page"/>
      </w:r>
    </w:p>
    <w:p w:rsidR="00E85554" w:rsidRDefault="00E85554" w:rsidP="00E85554">
      <w:pPr>
        <w:pStyle w:val="Nadpis3"/>
      </w:pPr>
      <w:bookmarkStart w:id="272" w:name="_Toc407035591"/>
      <w:bookmarkStart w:id="273" w:name="_Toc420056049"/>
      <w:r w:rsidRPr="00C56A7A">
        <w:lastRenderedPageBreak/>
        <w:t xml:space="preserve">Opatření pro oblast </w:t>
      </w:r>
      <w:r>
        <w:t>odstavování JE</w:t>
      </w:r>
      <w:bookmarkEnd w:id="272"/>
      <w:bookmarkEnd w:id="273"/>
    </w:p>
    <w:p w:rsidR="00931B23" w:rsidRPr="002E4520" w:rsidRDefault="00D547E0" w:rsidP="00931B23">
      <w:pPr>
        <w:jc w:val="both"/>
      </w:pPr>
      <w:r w:rsidRPr="002E4520">
        <w:t xml:space="preserve">V oblasti odstavování </w:t>
      </w:r>
      <w:proofErr w:type="gramStart"/>
      <w:r w:rsidRPr="002E4520">
        <w:t>JE</w:t>
      </w:r>
      <w:proofErr w:type="gramEnd"/>
      <w:r w:rsidRPr="002E4520">
        <w:t xml:space="preserve"> </w:t>
      </w:r>
      <w:proofErr w:type="spellStart"/>
      <w:r w:rsidRPr="002E4520">
        <w:t>je</w:t>
      </w:r>
      <w:proofErr w:type="spellEnd"/>
      <w:r w:rsidRPr="002E4520">
        <w:t xml:space="preserve"> potřeba</w:t>
      </w:r>
      <w:r w:rsidR="00931B23" w:rsidRPr="002E4520">
        <w:t>:</w:t>
      </w:r>
    </w:p>
    <w:p w:rsidR="00327455" w:rsidRPr="002E4520" w:rsidRDefault="00327455" w:rsidP="0044189F">
      <w:pPr>
        <w:pStyle w:val="Odstavecseseznamem"/>
        <w:numPr>
          <w:ilvl w:val="0"/>
          <w:numId w:val="67"/>
        </w:numPr>
        <w:jc w:val="both"/>
      </w:pPr>
      <w:r w:rsidRPr="002E4520">
        <w:t xml:space="preserve">cíleně zajistit dostatek finančních prostředků ze strany provozovatele JE zařízení pro profinancování celé fáze </w:t>
      </w:r>
      <w:proofErr w:type="spellStart"/>
      <w:r w:rsidRPr="002E4520">
        <w:t>decommissioningu</w:t>
      </w:r>
      <w:proofErr w:type="spellEnd"/>
      <w:r w:rsidR="00F9256D" w:rsidRPr="002E4520">
        <w:t xml:space="preserve"> včetně pravidelného vyhodnocování projektových nákladů likvidace a úpravy požadavků na příslušné rezervy</w:t>
      </w:r>
      <w:r w:rsidRPr="002E4520">
        <w:t>.</w:t>
      </w:r>
    </w:p>
    <w:p w:rsidR="00327455" w:rsidRPr="002E4520" w:rsidRDefault="00327455" w:rsidP="0044189F">
      <w:pPr>
        <w:pStyle w:val="Odstavecseseznamem"/>
        <w:numPr>
          <w:ilvl w:val="0"/>
          <w:numId w:val="67"/>
        </w:numPr>
        <w:jc w:val="both"/>
      </w:pPr>
      <w:r w:rsidRPr="002E4520">
        <w:t>zajistit dostatek lidských i průmyslových kapacit pro odstavování JE na území ČR, s vědomím souběžného procesu odstavování a likvidace odstavených JE napříč Evropou.</w:t>
      </w:r>
    </w:p>
    <w:p w:rsidR="00327455" w:rsidRPr="002E4520" w:rsidRDefault="00327455" w:rsidP="0044189F">
      <w:pPr>
        <w:pStyle w:val="Odstavecseseznamem"/>
        <w:numPr>
          <w:ilvl w:val="0"/>
          <w:numId w:val="67"/>
        </w:numPr>
        <w:jc w:val="both"/>
      </w:pPr>
      <w:r w:rsidRPr="002E4520">
        <w:t>podporovat zapojení českých firem do procesu odstavování a likvidace odstavených JE v</w:t>
      </w:r>
      <w:r w:rsidR="00F9256D" w:rsidRPr="002E4520">
        <w:t> </w:t>
      </w:r>
      <w:r w:rsidRPr="002E4520">
        <w:t>Evropě</w:t>
      </w:r>
      <w:r w:rsidR="00F9256D" w:rsidRPr="002E4520">
        <w:t xml:space="preserve"> již v současné době</w:t>
      </w:r>
      <w:r w:rsidRPr="002E4520">
        <w:t>, s cílem zisku potřebného know-how i no</w:t>
      </w:r>
      <w:r w:rsidR="00A9339D">
        <w:t>vé podnikatelské příležitosti.</w:t>
      </w:r>
    </w:p>
    <w:p w:rsidR="00E85554" w:rsidRDefault="00E85554" w:rsidP="00E85554">
      <w:pPr>
        <w:pStyle w:val="Nadpis2"/>
      </w:pPr>
      <w:bookmarkStart w:id="274" w:name="_Toc407035592"/>
      <w:bookmarkStart w:id="275" w:name="_Toc420056050"/>
      <w:r>
        <w:t>Pokračování přípravy a výstavby NJZ</w:t>
      </w:r>
      <w:bookmarkEnd w:id="274"/>
      <w:bookmarkEnd w:id="275"/>
    </w:p>
    <w:p w:rsidR="00E85554" w:rsidRDefault="00E85554" w:rsidP="00E85554">
      <w:pPr>
        <w:ind w:left="576"/>
      </w:pPr>
      <w:r>
        <w:t xml:space="preserve">Podrobný popis </w:t>
      </w:r>
      <w:r w:rsidR="000C2BE4">
        <w:t xml:space="preserve">doporučení pro oblast výstavby NJZ je uveden v kapitole </w:t>
      </w:r>
      <w:r w:rsidR="00A43BE3">
        <w:t>6</w:t>
      </w:r>
      <w:r w:rsidR="000C2BE4">
        <w:t xml:space="preserve"> (Výstavba nových jaderných zdrojů</w:t>
      </w:r>
      <w:r>
        <w:t>.</w:t>
      </w:r>
    </w:p>
    <w:p w:rsidR="000C2BE4" w:rsidRDefault="000C2BE4" w:rsidP="000C2BE4">
      <w:pPr>
        <w:pStyle w:val="Nadpis3"/>
      </w:pPr>
      <w:bookmarkStart w:id="276" w:name="_Toc407035593"/>
      <w:bookmarkStart w:id="277" w:name="_Toc420056051"/>
      <w:r w:rsidRPr="00C56A7A">
        <w:t xml:space="preserve">Opatření pro oblast </w:t>
      </w:r>
      <w:r>
        <w:t>výstavby NJZ</w:t>
      </w:r>
      <w:bookmarkEnd w:id="276"/>
      <w:bookmarkEnd w:id="277"/>
    </w:p>
    <w:p w:rsidR="000C2BE4" w:rsidRPr="002E4520" w:rsidRDefault="000C2BE4" w:rsidP="00591E2F">
      <w:pPr>
        <w:pStyle w:val="Odstavecseseznamem"/>
        <w:numPr>
          <w:ilvl w:val="0"/>
          <w:numId w:val="81"/>
        </w:numPr>
        <w:spacing w:after="120"/>
        <w:contextualSpacing w:val="0"/>
        <w:jc w:val="both"/>
        <w:rPr>
          <w:rFonts w:cs="Arial"/>
        </w:rPr>
      </w:pPr>
      <w:r w:rsidRPr="002E4520">
        <w:rPr>
          <w:rFonts w:cs="Arial"/>
        </w:rPr>
        <w:t xml:space="preserve">Prodiskutovat s ČEZ </w:t>
      </w:r>
      <w:r w:rsidR="00D82754">
        <w:rPr>
          <w:rFonts w:cs="Arial"/>
        </w:rPr>
        <w:t xml:space="preserve">případnou </w:t>
      </w:r>
      <w:r w:rsidRPr="002E4520">
        <w:rPr>
          <w:rFonts w:cs="Arial"/>
        </w:rPr>
        <w:t>možnost založení speciální společnost</w:t>
      </w:r>
      <w:r w:rsidR="00D82754">
        <w:rPr>
          <w:rFonts w:cs="Arial"/>
        </w:rPr>
        <w:t>i</w:t>
      </w:r>
      <w:r w:rsidRPr="002E4520">
        <w:rPr>
          <w:rFonts w:cs="Arial"/>
        </w:rPr>
        <w:t xml:space="preserve"> (SPV) pro vyvedení relevantních aktiv pro dostavbu jaderných bloků n</w:t>
      </w:r>
      <w:r w:rsidR="00971CC5">
        <w:rPr>
          <w:rFonts w:cs="Arial"/>
        </w:rPr>
        <w:t>a lokalitách Dukovany a Temelín.</w:t>
      </w:r>
    </w:p>
    <w:p w:rsidR="000C2BE4" w:rsidRPr="002E4520" w:rsidRDefault="000C2BE4" w:rsidP="00591E2F">
      <w:pPr>
        <w:pStyle w:val="Odstavecseseznamem"/>
        <w:numPr>
          <w:ilvl w:val="1"/>
          <w:numId w:val="17"/>
        </w:numPr>
        <w:spacing w:before="120" w:after="0"/>
        <w:contextualSpacing w:val="0"/>
        <w:jc w:val="both"/>
        <w:rPr>
          <w:sz w:val="20"/>
          <w:szCs w:val="20"/>
        </w:rPr>
      </w:pPr>
      <w:r w:rsidRPr="00CD5E88">
        <w:rPr>
          <w:u w:val="single"/>
        </w:rPr>
        <w:t>Zajistí:</w:t>
      </w:r>
      <w:r w:rsidRPr="002E4520">
        <w:t xml:space="preserve"> MF</w:t>
      </w:r>
    </w:p>
    <w:p w:rsidR="000C2BE4" w:rsidRPr="002E4520" w:rsidRDefault="000C2BE4" w:rsidP="00591E2F">
      <w:pPr>
        <w:pStyle w:val="Odstavecseseznamem"/>
        <w:numPr>
          <w:ilvl w:val="1"/>
          <w:numId w:val="17"/>
        </w:numPr>
        <w:spacing w:after="120"/>
        <w:ind w:left="1434" w:hanging="357"/>
        <w:contextualSpacing w:val="0"/>
        <w:jc w:val="both"/>
        <w:rPr>
          <w:sz w:val="20"/>
          <w:szCs w:val="20"/>
        </w:rPr>
      </w:pPr>
      <w:r w:rsidRPr="00CD5E88">
        <w:rPr>
          <w:u w:val="single"/>
        </w:rPr>
        <w:t>Termín:</w:t>
      </w:r>
      <w:r w:rsidRPr="002E4520">
        <w:t xml:space="preserve"> </w:t>
      </w:r>
      <w:r w:rsidR="00420D32">
        <w:t>30. 9. 2015</w:t>
      </w:r>
    </w:p>
    <w:p w:rsidR="000C2BE4" w:rsidRPr="002E4520" w:rsidRDefault="00F06665" w:rsidP="00591E2F">
      <w:pPr>
        <w:pStyle w:val="Odstavecseseznamem"/>
        <w:numPr>
          <w:ilvl w:val="0"/>
          <w:numId w:val="81"/>
        </w:numPr>
        <w:spacing w:after="120"/>
        <w:contextualSpacing w:val="0"/>
        <w:jc w:val="both"/>
        <w:rPr>
          <w:rFonts w:cs="Arial"/>
        </w:rPr>
      </w:pPr>
      <w:r>
        <w:rPr>
          <w:rFonts w:cs="Arial"/>
        </w:rPr>
        <w:t>P</w:t>
      </w:r>
      <w:r w:rsidR="00911702">
        <w:rPr>
          <w:rFonts w:cs="Arial"/>
        </w:rPr>
        <w:t>rojednat</w:t>
      </w:r>
      <w:r>
        <w:rPr>
          <w:rFonts w:cs="Arial"/>
        </w:rPr>
        <w:t xml:space="preserve"> se společností ČEZ, a.s. </w:t>
      </w:r>
      <w:r w:rsidR="008F6886">
        <w:rPr>
          <w:rFonts w:cs="Arial"/>
        </w:rPr>
        <w:t xml:space="preserve">z pozice vykonavatele vlastnických práv </w:t>
      </w:r>
      <w:r>
        <w:rPr>
          <w:rFonts w:cs="Arial"/>
        </w:rPr>
        <w:t>realizaci dokumentu NAP JE v oblasti výstavby NJZ</w:t>
      </w:r>
      <w:r w:rsidR="00582BB8">
        <w:rPr>
          <w:rFonts w:cs="Arial"/>
        </w:rPr>
        <w:t xml:space="preserve"> </w:t>
      </w:r>
      <w:r>
        <w:rPr>
          <w:rFonts w:cs="Arial"/>
        </w:rPr>
        <w:t>s ohledem na preferovanou variantu z pohledu státu.</w:t>
      </w:r>
    </w:p>
    <w:p w:rsidR="000C2BE4" w:rsidRPr="002E4520" w:rsidRDefault="000C2BE4" w:rsidP="00591E2F">
      <w:pPr>
        <w:pStyle w:val="Odstavecseseznamem"/>
        <w:numPr>
          <w:ilvl w:val="1"/>
          <w:numId w:val="17"/>
        </w:numPr>
        <w:spacing w:before="120" w:after="0"/>
        <w:contextualSpacing w:val="0"/>
        <w:jc w:val="both"/>
        <w:rPr>
          <w:sz w:val="20"/>
          <w:szCs w:val="20"/>
        </w:rPr>
      </w:pPr>
      <w:r w:rsidRPr="00CD5E88">
        <w:rPr>
          <w:u w:val="single"/>
        </w:rPr>
        <w:t>Zajistí:</w:t>
      </w:r>
      <w:r w:rsidRPr="002E4520">
        <w:t xml:space="preserve"> </w:t>
      </w:r>
      <w:r w:rsidR="00A43BE3">
        <w:t xml:space="preserve">MF </w:t>
      </w:r>
    </w:p>
    <w:p w:rsidR="00B8534B" w:rsidRPr="00B8534B" w:rsidRDefault="000C2BE4" w:rsidP="00591E2F">
      <w:pPr>
        <w:pStyle w:val="Odstavecseseznamem"/>
        <w:numPr>
          <w:ilvl w:val="1"/>
          <w:numId w:val="17"/>
        </w:numPr>
        <w:spacing w:after="120"/>
        <w:ind w:left="1434" w:hanging="357"/>
        <w:contextualSpacing w:val="0"/>
        <w:jc w:val="both"/>
        <w:rPr>
          <w:sz w:val="20"/>
          <w:szCs w:val="20"/>
        </w:rPr>
      </w:pPr>
      <w:r w:rsidRPr="00CD5E88">
        <w:rPr>
          <w:u w:val="single"/>
        </w:rPr>
        <w:t>Termín:</w:t>
      </w:r>
      <w:r w:rsidRPr="002E4520">
        <w:t xml:space="preserve"> </w:t>
      </w:r>
      <w:r w:rsidR="000D6721">
        <w:t xml:space="preserve">bezodkladně </w:t>
      </w:r>
      <w:r w:rsidR="00F06665">
        <w:t>v návaznosti na schválení tohoto dokumentu</w:t>
      </w:r>
    </w:p>
    <w:p w:rsidR="000C2BE4" w:rsidRPr="002E4520" w:rsidRDefault="00420D32" w:rsidP="00591E2F">
      <w:pPr>
        <w:pStyle w:val="Odstavecseseznamem"/>
        <w:keepNext/>
        <w:numPr>
          <w:ilvl w:val="0"/>
          <w:numId w:val="81"/>
        </w:numPr>
        <w:spacing w:after="120"/>
        <w:ind w:hanging="357"/>
        <w:contextualSpacing w:val="0"/>
        <w:jc w:val="both"/>
        <w:rPr>
          <w:rFonts w:cs="Arial"/>
        </w:rPr>
      </w:pPr>
      <w:r>
        <w:rPr>
          <w:noProof/>
        </w:rPr>
        <w:t>Předložit vládě studii konkrétního způsobu výstavby nových jaderných bloků v ČR s vybraným obchodně-investičním modelem a ostatními nutnými kroky pro zajištění výstavby</w:t>
      </w:r>
      <w:r w:rsidR="00971CC5">
        <w:rPr>
          <w:rFonts w:cs="Arial"/>
        </w:rPr>
        <w:t>.</w:t>
      </w:r>
    </w:p>
    <w:p w:rsidR="000C2BE4" w:rsidRPr="002E4520" w:rsidRDefault="000C2BE4" w:rsidP="00591E2F">
      <w:pPr>
        <w:pStyle w:val="Odstavecseseznamem"/>
        <w:keepNext/>
        <w:numPr>
          <w:ilvl w:val="1"/>
          <w:numId w:val="17"/>
        </w:numPr>
        <w:spacing w:before="120" w:after="0"/>
        <w:ind w:hanging="357"/>
        <w:contextualSpacing w:val="0"/>
        <w:jc w:val="both"/>
      </w:pPr>
      <w:r w:rsidRPr="00CD5E88">
        <w:rPr>
          <w:u w:val="single"/>
        </w:rPr>
        <w:t>Zajistí:</w:t>
      </w:r>
      <w:r w:rsidRPr="002E4520">
        <w:t xml:space="preserve"> MPO</w:t>
      </w:r>
      <w:r w:rsidR="00420D32">
        <w:t xml:space="preserve"> ve spolupráci s MF</w:t>
      </w:r>
    </w:p>
    <w:p w:rsidR="000C2BE4" w:rsidRPr="002E4520" w:rsidRDefault="000C2BE4" w:rsidP="00591E2F">
      <w:pPr>
        <w:pStyle w:val="Odstavecseseznamem"/>
        <w:numPr>
          <w:ilvl w:val="1"/>
          <w:numId w:val="17"/>
        </w:numPr>
        <w:spacing w:after="120"/>
        <w:ind w:left="1434" w:hanging="357"/>
        <w:contextualSpacing w:val="0"/>
        <w:jc w:val="both"/>
      </w:pPr>
      <w:r w:rsidRPr="00CD5E88">
        <w:rPr>
          <w:u w:val="single"/>
        </w:rPr>
        <w:t>Termín:</w:t>
      </w:r>
      <w:r w:rsidR="00A43BE3">
        <w:t xml:space="preserve"> 31. 12. 2015</w:t>
      </w:r>
    </w:p>
    <w:p w:rsidR="000C2BE4" w:rsidRPr="002E4520" w:rsidRDefault="000C2BE4" w:rsidP="00591E2F">
      <w:pPr>
        <w:pStyle w:val="Odstavecseseznamem"/>
        <w:numPr>
          <w:ilvl w:val="0"/>
          <w:numId w:val="81"/>
        </w:numPr>
        <w:spacing w:after="120"/>
        <w:contextualSpacing w:val="0"/>
        <w:jc w:val="both"/>
        <w:rPr>
          <w:rFonts w:cs="Arial"/>
        </w:rPr>
      </w:pPr>
      <w:r w:rsidRPr="002E4520">
        <w:rPr>
          <w:rFonts w:cs="Arial"/>
        </w:rPr>
        <w:t>Zajistit vyhledání a kontaktování strategických partnerů pro výstavbu nového jaderného zdroje v</w:t>
      </w:r>
      <w:r w:rsidR="00971CC5">
        <w:rPr>
          <w:rFonts w:cs="Arial"/>
        </w:rPr>
        <w:t> </w:t>
      </w:r>
      <w:r w:rsidRPr="002E4520">
        <w:rPr>
          <w:rFonts w:cs="Arial"/>
        </w:rPr>
        <w:t>ČR</w:t>
      </w:r>
      <w:r w:rsidR="00971CC5">
        <w:rPr>
          <w:rFonts w:cs="Arial"/>
        </w:rPr>
        <w:t>.</w:t>
      </w:r>
    </w:p>
    <w:p w:rsidR="000C2BE4" w:rsidRPr="002E4520" w:rsidRDefault="000C2BE4" w:rsidP="00591E2F">
      <w:pPr>
        <w:pStyle w:val="Odstavecseseznamem"/>
        <w:numPr>
          <w:ilvl w:val="1"/>
          <w:numId w:val="17"/>
        </w:numPr>
        <w:spacing w:before="120" w:after="0"/>
        <w:contextualSpacing w:val="0"/>
        <w:jc w:val="both"/>
      </w:pPr>
      <w:r w:rsidRPr="00CD5E88">
        <w:rPr>
          <w:u w:val="single"/>
        </w:rPr>
        <w:t>Zajistí:</w:t>
      </w:r>
      <w:r w:rsidRPr="002E4520">
        <w:t xml:space="preserve"> MPO</w:t>
      </w:r>
    </w:p>
    <w:p w:rsidR="000C2BE4" w:rsidRPr="002E4520" w:rsidRDefault="000C2BE4" w:rsidP="00591E2F">
      <w:pPr>
        <w:pStyle w:val="Odstavecseseznamem"/>
        <w:numPr>
          <w:ilvl w:val="1"/>
          <w:numId w:val="17"/>
        </w:numPr>
        <w:spacing w:after="120"/>
        <w:ind w:left="1434" w:hanging="357"/>
        <w:contextualSpacing w:val="0"/>
        <w:jc w:val="both"/>
      </w:pPr>
      <w:r w:rsidRPr="00CD5E88">
        <w:rPr>
          <w:u w:val="single"/>
        </w:rPr>
        <w:t>Termín:</w:t>
      </w:r>
      <w:r w:rsidR="00A43BE3">
        <w:t xml:space="preserve"> 31. 12. 2015</w:t>
      </w:r>
    </w:p>
    <w:p w:rsidR="000C2BE4" w:rsidRPr="002E4520" w:rsidRDefault="000C2BE4" w:rsidP="00591E2F">
      <w:pPr>
        <w:pStyle w:val="Odstavecseseznamem"/>
        <w:numPr>
          <w:ilvl w:val="0"/>
          <w:numId w:val="81"/>
        </w:numPr>
        <w:spacing w:after="120"/>
        <w:contextualSpacing w:val="0"/>
        <w:jc w:val="both"/>
        <w:rPr>
          <w:rFonts w:cs="Arial"/>
        </w:rPr>
      </w:pPr>
      <w:r w:rsidRPr="002E4520">
        <w:rPr>
          <w:rFonts w:cs="Arial"/>
        </w:rPr>
        <w:t>Zahájit předběžná jednání s Evropskou komisí o způsobu výběru dodavatele, zajištění financování, zajištění návratnosti a státní podpoře</w:t>
      </w:r>
      <w:r w:rsidR="00971CC5">
        <w:rPr>
          <w:rFonts w:cs="Arial"/>
        </w:rPr>
        <w:t>.</w:t>
      </w:r>
    </w:p>
    <w:p w:rsidR="000C2BE4" w:rsidRPr="002E4520" w:rsidRDefault="000C2BE4" w:rsidP="00591E2F">
      <w:pPr>
        <w:pStyle w:val="Odstavecseseznamem"/>
        <w:numPr>
          <w:ilvl w:val="1"/>
          <w:numId w:val="17"/>
        </w:numPr>
        <w:spacing w:before="120" w:after="0"/>
        <w:contextualSpacing w:val="0"/>
        <w:jc w:val="both"/>
      </w:pPr>
      <w:r w:rsidRPr="00CD5E88">
        <w:rPr>
          <w:u w:val="single"/>
        </w:rPr>
        <w:t>Zajistí:</w:t>
      </w:r>
      <w:r w:rsidRPr="002E4520">
        <w:t xml:space="preserve"> MPO</w:t>
      </w:r>
    </w:p>
    <w:p w:rsidR="00851303" w:rsidRDefault="000C2BE4" w:rsidP="00591E2F">
      <w:pPr>
        <w:pStyle w:val="Odstavecseseznamem"/>
        <w:numPr>
          <w:ilvl w:val="1"/>
          <w:numId w:val="17"/>
        </w:numPr>
        <w:spacing w:after="240"/>
        <w:ind w:left="1434" w:hanging="357"/>
        <w:contextualSpacing w:val="0"/>
        <w:jc w:val="both"/>
      </w:pPr>
      <w:r w:rsidRPr="00CD5E88">
        <w:rPr>
          <w:u w:val="single"/>
        </w:rPr>
        <w:t>Termín:</w:t>
      </w:r>
      <w:r w:rsidRPr="002E4520">
        <w:t xml:space="preserve"> </w:t>
      </w:r>
      <w:r w:rsidR="000D6721">
        <w:t xml:space="preserve">31. 12. </w:t>
      </w:r>
      <w:r w:rsidR="00420D32">
        <w:t>2016</w:t>
      </w:r>
    </w:p>
    <w:p w:rsidR="00851303" w:rsidRDefault="00851303">
      <w:r>
        <w:br w:type="page"/>
      </w:r>
    </w:p>
    <w:p w:rsidR="000064B2" w:rsidRPr="00F433A0" w:rsidRDefault="00AF64EC" w:rsidP="00F433A0">
      <w:pPr>
        <w:pStyle w:val="Nadpis2"/>
      </w:pPr>
      <w:bookmarkStart w:id="278" w:name="_Toc407035594"/>
      <w:bookmarkStart w:id="279" w:name="_Toc420056052"/>
      <w:r w:rsidRPr="00F433A0">
        <w:lastRenderedPageBreak/>
        <w:t xml:space="preserve">Komunikace s občany a </w:t>
      </w:r>
      <w:r w:rsidR="00937A9A">
        <w:t>nevládními organizacemi</w:t>
      </w:r>
      <w:bookmarkEnd w:id="278"/>
      <w:bookmarkEnd w:id="279"/>
    </w:p>
    <w:p w:rsidR="004B10B9" w:rsidRDefault="00E21E21" w:rsidP="00E21E21">
      <w:pPr>
        <w:jc w:val="both"/>
      </w:pPr>
      <w:r w:rsidRPr="00E21E21">
        <w:t>Provozovatel aktivně komunikuje s okolím jaderných elektráren i kraji, ve kterých působí. Používá odstupňovaný přístup, vždy volí komunikační mix vhodný pro cílovou skupinu. Jde o obousměrnou komunikaci, kdy provozovatelé nejen sdělují fakta a plány, ale také odpovídají na dotazy, poskytují odbornou i fyzickou pomoc v oko</w:t>
      </w:r>
      <w:r w:rsidR="004B10B9">
        <w:t>lí a reflektují místní potřeby.</w:t>
      </w:r>
    </w:p>
    <w:p w:rsidR="00E21E21" w:rsidRPr="00E21E21" w:rsidRDefault="00E21E21" w:rsidP="00E21E21">
      <w:pPr>
        <w:jc w:val="both"/>
      </w:pPr>
      <w:r w:rsidRPr="00E21E21">
        <w:t>Provozovatel využívá diferencovaný postup. V případě elektrárny Temelín aktuálně vzniká sdružení měst a obcí „</w:t>
      </w:r>
      <w:proofErr w:type="spellStart"/>
      <w:r w:rsidRPr="00E21E21">
        <w:t>Energoregio</w:t>
      </w:r>
      <w:proofErr w:type="spellEnd"/>
      <w:r w:rsidRPr="00E21E21">
        <w:t xml:space="preserve"> </w:t>
      </w:r>
      <w:proofErr w:type="spellStart"/>
      <w:r w:rsidRPr="00E21E21">
        <w:t>Temelínsko</w:t>
      </w:r>
      <w:proofErr w:type="spellEnd"/>
      <w:r w:rsidRPr="00E21E21">
        <w:t xml:space="preserve">“, které je však především platformou starostů. Vzhledem k menšímu počtu měst a obcí v Zóně havarijního plánování (pouze 32 samospráv) má Temelín možnost komunikovat se všemi starosty a zastupiteli, případně občanskými sdruženími a spolky, či přímo obyvateli. Tuto činnost vykonává prostřednictvím řady prostředků a kanálů.  Mezi nimi nechybí prostředky masové komunikace, direct marketingové prostředky, </w:t>
      </w:r>
      <w:proofErr w:type="spellStart"/>
      <w:r w:rsidRPr="00E21E21">
        <w:t>eventy</w:t>
      </w:r>
      <w:proofErr w:type="spellEnd"/>
      <w:r w:rsidRPr="00E21E21">
        <w:t>, ale také řada osobních setkání. Obecně provozovatel používá jak prostředky operativní (např. SMS zprávy pro informace okamžitého charakteru, např. zdůvodnění</w:t>
      </w:r>
      <w:r w:rsidR="00FC60D5">
        <w:t xml:space="preserve"> </w:t>
      </w:r>
      <w:r w:rsidR="00FC60D5" w:rsidRPr="00FC60D5">
        <w:t>mimořádné hlukové události</w:t>
      </w:r>
      <w:r w:rsidRPr="00E21E21">
        <w:t xml:space="preserve">), tak stálé prostředky. Specifickou oblastí je plnění závazků provozovatele vyplývající z tzv. Dohody z Melku, podle které elektrárna Temelín každý pracovní den informuje rakouskou stranu o výrobě a dění v elektrárně Temelín. Tento denní report je (v českém jazyce) zasílán rovněž všem lokálním a většině celostátních médií a </w:t>
      </w:r>
      <w:proofErr w:type="spellStart"/>
      <w:r w:rsidRPr="00E21E21">
        <w:t>stakeholderům</w:t>
      </w:r>
      <w:proofErr w:type="spellEnd"/>
      <w:r w:rsidRPr="00E21E21">
        <w:t xml:space="preserve">. V ČJ, AJ a NJ je rovněž umístěn na webu provozovatele. Vedení elektrárny Temelín je rovněž v kontaktu s nevládními organizacemi jak z ČR, tak také Německa a Rakouska. Kromě aktivního informování a  zodpovídání dotazů se provozovatel přímo podílí na exkurzích nevládních organizací a detailním poznávání elektrárny Temelín. Přímo v oblasti havarijní připravenosti provozovatel, kromě státní správy, samosprávy, krajské správy a </w:t>
      </w:r>
      <w:r w:rsidR="001B3793">
        <w:t>Integrovaným</w:t>
      </w:r>
      <w:r w:rsidR="00D9572B">
        <w:t xml:space="preserve"> záchranným systémem</w:t>
      </w:r>
      <w:r w:rsidRPr="00E21E21">
        <w:t xml:space="preserve"> spolupracuje především s Rakouskem, jehož složky Civilní ochrany jsou informovány o cvičeních, mohou se jich účastnit a rovněž aktivně poznávají elektrárnu Temelín (včetně exkurzí do střeženého prostoru). </w:t>
      </w:r>
    </w:p>
    <w:p w:rsidR="00E21E21" w:rsidRPr="00E21E21" w:rsidRDefault="00E21E21" w:rsidP="00E21E21">
      <w:pPr>
        <w:jc w:val="both"/>
      </w:pPr>
      <w:r w:rsidRPr="00E21E21">
        <w:t xml:space="preserve">V případě elektrárny Dukovany není možné přímo komunikovat se všemi </w:t>
      </w:r>
      <w:proofErr w:type="spellStart"/>
      <w:r w:rsidRPr="00E21E21">
        <w:t>stakeholdery</w:t>
      </w:r>
      <w:proofErr w:type="spellEnd"/>
      <w:r w:rsidRPr="00E21E21">
        <w:t xml:space="preserve"> v Zóně havarijního plánování. Ta je výrazně větší a zahrnuje cca 120 měst a obcí ve dvou krajích. Proto jsou obyvatelé těchto municipalit částečně zastupováni prostřednictvím několika sdružení – např. </w:t>
      </w:r>
      <w:r w:rsidR="008663F6">
        <w:t>Energetické</w:t>
      </w:r>
      <w:r w:rsidR="008663F6" w:rsidRPr="00E21E21">
        <w:t xml:space="preserve"> </w:t>
      </w:r>
      <w:r w:rsidRPr="00E21E21">
        <w:t>Třebíčsko. Na oblast bezpečnosti, vč. havarijní připravenosti se soustředí především  Občanská bezpečnostní komise (OBK), jejíž členové jsou reprezentanty municipalit a mají své odborné protějšky na straně provozovatele. Toto sdružení se pravidelně schází a jeho činnost zahrnuje řadu aktivit v oblasti bezpečnosti. Je pravidelně v kontaktu s vedením elektrárny, pořádá vlastní semináře a workshopy, zprostředkovává setkání se zástupci samospráv z jiných „jaderných“ regionů. Prostředky komunikace jsou prakticky totožné jako v případě elektrárny Temelín. Vzhledem k velmi vysokému počtu municipalit však nemůže nabízet návštěvní program na reaktorové sály plošně, nabízí jej ale prostřednictvím OBK.</w:t>
      </w:r>
    </w:p>
    <w:p w:rsidR="00E21E21" w:rsidRDefault="00E21E21" w:rsidP="00E21E21">
      <w:pPr>
        <w:jc w:val="both"/>
      </w:pPr>
      <w:r w:rsidRPr="00E21E21">
        <w:t>Pro celou ČR</w:t>
      </w:r>
      <w:r w:rsidR="008663F6">
        <w:t xml:space="preserve"> i obě české </w:t>
      </w:r>
      <w:proofErr w:type="gramStart"/>
      <w:r w:rsidR="008663F6">
        <w:t>JE</w:t>
      </w:r>
      <w:proofErr w:type="gramEnd"/>
      <w:r w:rsidR="008663F6">
        <w:t xml:space="preserve"> </w:t>
      </w:r>
      <w:proofErr w:type="spellStart"/>
      <w:r w:rsidR="008663F6">
        <w:t>je</w:t>
      </w:r>
      <w:proofErr w:type="spellEnd"/>
      <w:r w:rsidR="008663F6">
        <w:t xml:space="preserve"> klíčovým prv</w:t>
      </w:r>
      <w:r w:rsidRPr="00E21E21">
        <w:t>k</w:t>
      </w:r>
      <w:r w:rsidR="008663F6">
        <w:t>em</w:t>
      </w:r>
      <w:r w:rsidRPr="00E21E21">
        <w:t xml:space="preserve"> vzdělávání. Provozovatel maximálně podporuje technické vzdělávání a rozvoj znalostí o energetice obecně. Participuje na programu diskuzí agentury JLM, díky němuž má velká většina středoškolských studentů ČR možnost poznat problematiku energetiky a získat odpovědi na všechny své otázky. Provozovatel rovněž participuje na řadě dalších vzdělávacích programů, jež se nezaměřují jen na jadernou energetiku, ale </w:t>
      </w:r>
      <w:r w:rsidR="008663F6">
        <w:t xml:space="preserve">na </w:t>
      </w:r>
      <w:r w:rsidRPr="00E21E21">
        <w:t>energetiku jako celek. Velmi významným vzdělávacím prvkem jsou Infocentra obou elektráren.</w:t>
      </w:r>
    </w:p>
    <w:p w:rsidR="00556904" w:rsidRDefault="00556904" w:rsidP="00556904">
      <w:pPr>
        <w:pStyle w:val="Nadpis3"/>
      </w:pPr>
      <w:bookmarkStart w:id="280" w:name="_Toc407035595"/>
      <w:bookmarkStart w:id="281" w:name="_Toc420056053"/>
      <w:r w:rsidRPr="00C56A7A">
        <w:lastRenderedPageBreak/>
        <w:t xml:space="preserve">Opatření pro oblast </w:t>
      </w:r>
      <w:r>
        <w:t xml:space="preserve">komunikace s občany a </w:t>
      </w:r>
      <w:r w:rsidR="00937A9A">
        <w:t>nevládními organizacemi</w:t>
      </w:r>
      <w:bookmarkEnd w:id="280"/>
      <w:bookmarkEnd w:id="281"/>
    </w:p>
    <w:p w:rsidR="00A43BE3" w:rsidRPr="002E4520" w:rsidRDefault="00A43BE3" w:rsidP="00591E2F">
      <w:pPr>
        <w:pStyle w:val="Odstavecseseznamem"/>
        <w:numPr>
          <w:ilvl w:val="0"/>
          <w:numId w:val="91"/>
        </w:numPr>
        <w:spacing w:after="120"/>
        <w:ind w:left="714" w:hanging="357"/>
        <w:contextualSpacing w:val="0"/>
        <w:jc w:val="both"/>
      </w:pPr>
      <w:r w:rsidRPr="002E4520">
        <w:t>Udržovat vysokou míru informovanosti občanů o provozu JE na území ČR</w:t>
      </w:r>
      <w:r w:rsidR="008663F6">
        <w:t>.</w:t>
      </w:r>
    </w:p>
    <w:p w:rsidR="00A43BE3" w:rsidRPr="00A43BE3" w:rsidRDefault="00A43BE3" w:rsidP="00591E2F">
      <w:pPr>
        <w:pStyle w:val="Odstavecseseznamem"/>
        <w:numPr>
          <w:ilvl w:val="1"/>
          <w:numId w:val="17"/>
        </w:numPr>
        <w:spacing w:before="120" w:after="0"/>
        <w:ind w:left="1434" w:hanging="357"/>
        <w:contextualSpacing w:val="0"/>
        <w:jc w:val="both"/>
      </w:pPr>
      <w:r w:rsidRPr="00CD5E88">
        <w:rPr>
          <w:u w:val="single"/>
        </w:rPr>
        <w:t>Zajistí:</w:t>
      </w:r>
      <w:r w:rsidRPr="00A43BE3">
        <w:t xml:space="preserve"> </w:t>
      </w:r>
      <w:r w:rsidR="0038181A">
        <w:t>ČEZ</w:t>
      </w:r>
      <w:r w:rsidRPr="00A43BE3">
        <w:t>, a.s. + výbor pro JE</w:t>
      </w:r>
    </w:p>
    <w:p w:rsidR="004B10B9" w:rsidRDefault="00A43BE3" w:rsidP="00591E2F">
      <w:pPr>
        <w:pStyle w:val="Odstavecseseznamem"/>
        <w:numPr>
          <w:ilvl w:val="1"/>
          <w:numId w:val="17"/>
        </w:numPr>
        <w:spacing w:after="240"/>
        <w:ind w:left="1434" w:hanging="357"/>
        <w:contextualSpacing w:val="0"/>
        <w:jc w:val="both"/>
      </w:pPr>
      <w:r w:rsidRPr="00CD5E88">
        <w:rPr>
          <w:u w:val="single"/>
        </w:rPr>
        <w:t>Termín:</w:t>
      </w:r>
      <w:r>
        <w:t xml:space="preserve"> průběžně</w:t>
      </w:r>
    </w:p>
    <w:p w:rsidR="009D3932" w:rsidRDefault="009D3932" w:rsidP="002E4520">
      <w:pPr>
        <w:pStyle w:val="Nadpis2"/>
      </w:pPr>
      <w:bookmarkStart w:id="282" w:name="_Toc420056054"/>
      <w:bookmarkStart w:id="283" w:name="_Toc407035596"/>
      <w:r>
        <w:t>Dlouhodobé zajištění jaderného palivového cyklu</w:t>
      </w:r>
      <w:bookmarkEnd w:id="282"/>
      <w:r>
        <w:t xml:space="preserve"> </w:t>
      </w:r>
      <w:bookmarkEnd w:id="283"/>
    </w:p>
    <w:p w:rsidR="009D3932" w:rsidRPr="002E4520" w:rsidRDefault="009D3932" w:rsidP="009D3932">
      <w:pPr>
        <w:jc w:val="both"/>
        <w:rPr>
          <w:rFonts w:ascii="Calibri" w:hAnsi="Calibri"/>
        </w:rPr>
      </w:pPr>
      <w:r w:rsidRPr="002E4520">
        <w:rPr>
          <w:rFonts w:ascii="Calibri" w:hAnsi="Calibri"/>
        </w:rPr>
        <w:t>V oblasti jaderného palivového cyklu jsou následující priority:</w:t>
      </w:r>
    </w:p>
    <w:p w:rsidR="009D3932" w:rsidRPr="002E4520" w:rsidRDefault="009D3932" w:rsidP="0044189F">
      <w:pPr>
        <w:pStyle w:val="Odstavecseseznamem"/>
        <w:numPr>
          <w:ilvl w:val="0"/>
          <w:numId w:val="66"/>
        </w:numPr>
        <w:jc w:val="both"/>
        <w:rPr>
          <w:rFonts w:ascii="Calibri" w:hAnsi="Calibri"/>
        </w:rPr>
      </w:pPr>
      <w:r w:rsidRPr="002E4520">
        <w:rPr>
          <w:rFonts w:ascii="Calibri" w:hAnsi="Calibri"/>
        </w:rPr>
        <w:t>Volba uzavřeného palivového cyklu s rychlými reaktory v případě jejich komercializace, v opačném případě setrvání u strategie otevřeného palivového cyklu s tlakovodními reaktory.</w:t>
      </w:r>
    </w:p>
    <w:p w:rsidR="009D3932" w:rsidRPr="002E4520" w:rsidRDefault="00B5732C" w:rsidP="0044189F">
      <w:pPr>
        <w:pStyle w:val="Odstavecseseznamem"/>
        <w:numPr>
          <w:ilvl w:val="0"/>
          <w:numId w:val="66"/>
        </w:numPr>
        <w:jc w:val="both"/>
        <w:rPr>
          <w:rFonts w:ascii="Calibri" w:hAnsi="Calibri"/>
        </w:rPr>
      </w:pPr>
      <w:r>
        <w:rPr>
          <w:rFonts w:ascii="Calibri" w:hAnsi="Calibri"/>
        </w:rPr>
        <w:t xml:space="preserve">Zajištění dlouhodobé bezpečnosti dodávek jaderného paliva </w:t>
      </w:r>
    </w:p>
    <w:p w:rsidR="009D3932" w:rsidRPr="002E4520" w:rsidRDefault="009D3932" w:rsidP="0044189F">
      <w:pPr>
        <w:pStyle w:val="Odstavecseseznamem"/>
        <w:numPr>
          <w:ilvl w:val="0"/>
          <w:numId w:val="66"/>
        </w:numPr>
        <w:jc w:val="both"/>
        <w:rPr>
          <w:rFonts w:ascii="Calibri" w:hAnsi="Calibri"/>
        </w:rPr>
      </w:pPr>
      <w:r w:rsidRPr="002E4520">
        <w:rPr>
          <w:rFonts w:ascii="Calibri" w:hAnsi="Calibri"/>
        </w:rPr>
        <w:t>V rámci surovinové politiky je třeba dopracovat strategii v oblasti těžby přírodního uranu v ČR. Z hlediska realizace vize rozvoje jaderné energetiky v ČR je však nepodstatná.</w:t>
      </w:r>
    </w:p>
    <w:p w:rsidR="009D3932" w:rsidRPr="002B76E0" w:rsidRDefault="009D3932" w:rsidP="009D3932">
      <w:pPr>
        <w:pStyle w:val="Nadpis3"/>
      </w:pPr>
      <w:bookmarkStart w:id="284" w:name="_Toc407035597"/>
      <w:bookmarkStart w:id="285" w:name="_Toc420056055"/>
      <w:r w:rsidRPr="00C56A7A">
        <w:t xml:space="preserve">Opatření pro oblast </w:t>
      </w:r>
      <w:r>
        <w:t>jaderného palivového cyklu</w:t>
      </w:r>
      <w:bookmarkEnd w:id="284"/>
      <w:bookmarkEnd w:id="285"/>
    </w:p>
    <w:p w:rsidR="006127D7" w:rsidRPr="000D6721" w:rsidRDefault="006127D7" w:rsidP="00591E2F">
      <w:pPr>
        <w:pStyle w:val="Odstavecseseznamem"/>
        <w:numPr>
          <w:ilvl w:val="0"/>
          <w:numId w:val="97"/>
        </w:numPr>
        <w:spacing w:after="120"/>
        <w:contextualSpacing w:val="0"/>
        <w:jc w:val="both"/>
        <w:rPr>
          <w:rFonts w:cs="Arial"/>
        </w:rPr>
      </w:pPr>
      <w:r w:rsidRPr="000D6721">
        <w:rPr>
          <w:rFonts w:cs="Arial"/>
        </w:rPr>
        <w:t>Zpracovat komplexní strategii v oblasti jaderného palivového cyklu.</w:t>
      </w:r>
    </w:p>
    <w:p w:rsidR="006127D7" w:rsidRPr="000D6721" w:rsidRDefault="006127D7" w:rsidP="00591E2F">
      <w:pPr>
        <w:pStyle w:val="Odstavecseseznamem"/>
        <w:numPr>
          <w:ilvl w:val="1"/>
          <w:numId w:val="17"/>
        </w:numPr>
        <w:spacing w:before="120" w:after="0"/>
        <w:contextualSpacing w:val="0"/>
        <w:jc w:val="both"/>
        <w:rPr>
          <w:u w:val="single"/>
        </w:rPr>
      </w:pPr>
      <w:r w:rsidRPr="000D6721">
        <w:rPr>
          <w:u w:val="single"/>
        </w:rPr>
        <w:t>Zodpovídá:</w:t>
      </w:r>
      <w:r w:rsidRPr="000D6721">
        <w:t xml:space="preserve"> MPO, spolupracuje ČEZ</w:t>
      </w:r>
    </w:p>
    <w:p w:rsidR="000D6721" w:rsidRPr="000D6721" w:rsidRDefault="000D6721" w:rsidP="00591E2F">
      <w:pPr>
        <w:pStyle w:val="Odstavecseseznamem"/>
        <w:numPr>
          <w:ilvl w:val="1"/>
          <w:numId w:val="17"/>
        </w:numPr>
        <w:spacing w:after="120"/>
        <w:ind w:left="1434" w:hanging="357"/>
        <w:contextualSpacing w:val="0"/>
        <w:jc w:val="both"/>
        <w:rPr>
          <w:u w:val="single"/>
        </w:rPr>
      </w:pPr>
      <w:r>
        <w:rPr>
          <w:u w:val="single"/>
        </w:rPr>
        <w:t>Termín:</w:t>
      </w:r>
      <w:r w:rsidRPr="000D6721">
        <w:t xml:space="preserve"> 21. 12. 2015</w:t>
      </w:r>
    </w:p>
    <w:p w:rsidR="006127D7" w:rsidRPr="000D6721" w:rsidRDefault="006127D7" w:rsidP="00591E2F">
      <w:pPr>
        <w:pStyle w:val="Odstavecseseznamem"/>
        <w:numPr>
          <w:ilvl w:val="0"/>
          <w:numId w:val="97"/>
        </w:numPr>
        <w:spacing w:after="120"/>
        <w:contextualSpacing w:val="0"/>
        <w:jc w:val="both"/>
        <w:rPr>
          <w:rFonts w:cs="Arial"/>
        </w:rPr>
      </w:pPr>
      <w:r w:rsidRPr="000D6721">
        <w:rPr>
          <w:rFonts w:cs="Arial"/>
        </w:rPr>
        <w:t>Zapojit se do výzkumu využití nekonvenčních zásob uranu s cílem získat přístup k levnějším zásobám než dostupným na trhu, pro případ, že by nedošlo ke komercializaci rychlých reaktorů do roku 2100.</w:t>
      </w:r>
    </w:p>
    <w:p w:rsidR="006127D7" w:rsidRDefault="006127D7" w:rsidP="00591E2F">
      <w:pPr>
        <w:pStyle w:val="Odstavecseseznamem"/>
        <w:numPr>
          <w:ilvl w:val="1"/>
          <w:numId w:val="17"/>
        </w:numPr>
        <w:spacing w:before="120" w:after="0"/>
        <w:contextualSpacing w:val="0"/>
        <w:jc w:val="both"/>
        <w:rPr>
          <w:u w:val="single"/>
        </w:rPr>
      </w:pPr>
      <w:r w:rsidRPr="000D6721">
        <w:rPr>
          <w:u w:val="single"/>
        </w:rPr>
        <w:t>Zodpovídá:</w:t>
      </w:r>
      <w:r w:rsidRPr="00E656F5">
        <w:t xml:space="preserve"> MPO, spolupracuje ČEZ</w:t>
      </w:r>
    </w:p>
    <w:p w:rsidR="00E656F5" w:rsidRPr="000D6721" w:rsidRDefault="00E656F5" w:rsidP="00591E2F">
      <w:pPr>
        <w:pStyle w:val="Odstavecseseznamem"/>
        <w:numPr>
          <w:ilvl w:val="1"/>
          <w:numId w:val="17"/>
        </w:numPr>
        <w:spacing w:after="120"/>
        <w:ind w:left="1434" w:hanging="357"/>
        <w:contextualSpacing w:val="0"/>
        <w:jc w:val="both"/>
        <w:rPr>
          <w:u w:val="single"/>
        </w:rPr>
      </w:pPr>
      <w:r>
        <w:rPr>
          <w:u w:val="single"/>
        </w:rPr>
        <w:t>Termín:</w:t>
      </w:r>
      <w:r w:rsidRPr="00E656F5">
        <w:t xml:space="preserve"> průběžně</w:t>
      </w:r>
    </w:p>
    <w:p w:rsidR="006127D7" w:rsidRPr="000D6721" w:rsidRDefault="006127D7" w:rsidP="00591E2F">
      <w:pPr>
        <w:pStyle w:val="Odstavecseseznamem"/>
        <w:numPr>
          <w:ilvl w:val="0"/>
          <w:numId w:val="97"/>
        </w:numPr>
        <w:spacing w:after="120"/>
        <w:contextualSpacing w:val="0"/>
        <w:jc w:val="both"/>
        <w:rPr>
          <w:rFonts w:cs="Arial"/>
        </w:rPr>
      </w:pPr>
      <w:r w:rsidRPr="000D6721">
        <w:rPr>
          <w:rFonts w:cs="Arial"/>
        </w:rPr>
        <w:t>Zapojit do spolupráce na vývoji rychlého reaktoru a jeho palivového cyklu</w:t>
      </w:r>
      <w:r w:rsidR="008663F6">
        <w:rPr>
          <w:rFonts w:cs="Arial"/>
        </w:rPr>
        <w:t>.</w:t>
      </w:r>
    </w:p>
    <w:p w:rsidR="006127D7" w:rsidRPr="000D6721" w:rsidRDefault="006127D7" w:rsidP="00591E2F">
      <w:pPr>
        <w:pStyle w:val="Odstavecseseznamem"/>
        <w:numPr>
          <w:ilvl w:val="1"/>
          <w:numId w:val="17"/>
        </w:numPr>
        <w:spacing w:before="120" w:after="120"/>
        <w:ind w:left="1434" w:hanging="357"/>
        <w:contextualSpacing w:val="0"/>
        <w:jc w:val="both"/>
        <w:rPr>
          <w:u w:val="single"/>
        </w:rPr>
      </w:pPr>
      <w:r w:rsidRPr="000D6721">
        <w:rPr>
          <w:u w:val="single"/>
        </w:rPr>
        <w:t>Zodpovídá:</w:t>
      </w:r>
      <w:r w:rsidRPr="00E656F5">
        <w:t xml:space="preserve"> MPO, spolupracuje ČEZ</w:t>
      </w:r>
    </w:p>
    <w:p w:rsidR="006127D7" w:rsidRPr="000D6721" w:rsidRDefault="006127D7" w:rsidP="00591E2F">
      <w:pPr>
        <w:pStyle w:val="Odstavecseseznamem"/>
        <w:numPr>
          <w:ilvl w:val="0"/>
          <w:numId w:val="97"/>
        </w:numPr>
        <w:spacing w:after="120"/>
        <w:contextualSpacing w:val="0"/>
        <w:jc w:val="both"/>
        <w:rPr>
          <w:rFonts w:cs="Arial"/>
        </w:rPr>
      </w:pPr>
      <w:r w:rsidRPr="000D6721">
        <w:rPr>
          <w:rFonts w:cs="Arial"/>
        </w:rPr>
        <w:t>Zpracovat technickoekonomickou studii možností recyklování paliva (MOX) v rozsahu 25 % aktivní zóny při výběru technologie N</w:t>
      </w:r>
      <w:r w:rsidR="008663F6">
        <w:rPr>
          <w:rFonts w:cs="Arial"/>
        </w:rPr>
        <w:t>JZ</w:t>
      </w:r>
      <w:r w:rsidRPr="000D6721">
        <w:rPr>
          <w:rFonts w:cs="Arial"/>
        </w:rPr>
        <w:t>.</w:t>
      </w:r>
    </w:p>
    <w:p w:rsidR="006127D7" w:rsidRDefault="006127D7" w:rsidP="00591E2F">
      <w:pPr>
        <w:pStyle w:val="Odstavecseseznamem"/>
        <w:numPr>
          <w:ilvl w:val="1"/>
          <w:numId w:val="17"/>
        </w:numPr>
        <w:spacing w:before="120" w:after="0"/>
        <w:contextualSpacing w:val="0"/>
        <w:jc w:val="both"/>
        <w:rPr>
          <w:u w:val="single"/>
        </w:rPr>
      </w:pPr>
      <w:r w:rsidRPr="000D6721">
        <w:rPr>
          <w:u w:val="single"/>
        </w:rPr>
        <w:t>Zodpovídá:</w:t>
      </w:r>
      <w:r w:rsidRPr="00E656F5">
        <w:t xml:space="preserve"> MPO</w:t>
      </w:r>
    </w:p>
    <w:p w:rsidR="00E656F5" w:rsidRPr="000D6721" w:rsidRDefault="00E656F5" w:rsidP="00591E2F">
      <w:pPr>
        <w:pStyle w:val="Odstavecseseznamem"/>
        <w:numPr>
          <w:ilvl w:val="1"/>
          <w:numId w:val="17"/>
        </w:numPr>
        <w:spacing w:after="120"/>
        <w:ind w:left="1434" w:hanging="357"/>
        <w:contextualSpacing w:val="0"/>
        <w:jc w:val="both"/>
        <w:rPr>
          <w:u w:val="single"/>
        </w:rPr>
      </w:pPr>
      <w:r>
        <w:rPr>
          <w:u w:val="single"/>
        </w:rPr>
        <w:t>Termín:</w:t>
      </w:r>
      <w:r w:rsidRPr="00E656F5">
        <w:t xml:space="preserve"> 31. 12. 2016</w:t>
      </w:r>
    </w:p>
    <w:p w:rsidR="006127D7" w:rsidRPr="000D6721" w:rsidRDefault="006127D7" w:rsidP="00591E2F">
      <w:pPr>
        <w:pStyle w:val="Odstavecseseznamem"/>
        <w:numPr>
          <w:ilvl w:val="0"/>
          <w:numId w:val="97"/>
        </w:numPr>
        <w:spacing w:after="120"/>
        <w:contextualSpacing w:val="0"/>
        <w:jc w:val="both"/>
        <w:rPr>
          <w:rFonts w:cs="Arial"/>
        </w:rPr>
      </w:pPr>
      <w:r w:rsidRPr="000D6721">
        <w:rPr>
          <w:rFonts w:cs="Arial"/>
        </w:rPr>
        <w:t>Provést studii zajištění potenciálních budoucích transportních cest pro VJP.</w:t>
      </w:r>
    </w:p>
    <w:p w:rsidR="006127D7" w:rsidRDefault="006127D7" w:rsidP="00591E2F">
      <w:pPr>
        <w:pStyle w:val="Odstavecseseznamem"/>
        <w:numPr>
          <w:ilvl w:val="1"/>
          <w:numId w:val="17"/>
        </w:numPr>
        <w:spacing w:before="120" w:after="0"/>
        <w:contextualSpacing w:val="0"/>
        <w:jc w:val="both"/>
        <w:rPr>
          <w:u w:val="single"/>
        </w:rPr>
      </w:pPr>
      <w:r w:rsidRPr="000D6721">
        <w:rPr>
          <w:u w:val="single"/>
        </w:rPr>
        <w:t>Zodpovídá:</w:t>
      </w:r>
      <w:r w:rsidRPr="00E656F5">
        <w:t xml:space="preserve"> SÚRAO</w:t>
      </w:r>
    </w:p>
    <w:p w:rsidR="004B10B9" w:rsidRDefault="00E656F5" w:rsidP="00372826">
      <w:pPr>
        <w:pStyle w:val="Odstavecseseznamem"/>
        <w:numPr>
          <w:ilvl w:val="1"/>
          <w:numId w:val="17"/>
        </w:numPr>
        <w:spacing w:after="240"/>
        <w:ind w:left="1434" w:hanging="357"/>
        <w:contextualSpacing w:val="0"/>
        <w:jc w:val="both"/>
      </w:pPr>
      <w:r>
        <w:rPr>
          <w:u w:val="single"/>
        </w:rPr>
        <w:t>Termín:</w:t>
      </w:r>
      <w:r w:rsidRPr="00E656F5">
        <w:t xml:space="preserve"> 31. 12. 2016</w:t>
      </w:r>
    </w:p>
    <w:p w:rsidR="004B10B9" w:rsidRDefault="004B10B9">
      <w:r>
        <w:br w:type="page"/>
      </w:r>
    </w:p>
    <w:p w:rsidR="000064B2" w:rsidRDefault="000064B2" w:rsidP="001629C9">
      <w:pPr>
        <w:pStyle w:val="Nadpis2"/>
      </w:pPr>
      <w:bookmarkStart w:id="286" w:name="_Toc407035598"/>
      <w:bookmarkStart w:id="287" w:name="_Toc420056056"/>
      <w:r w:rsidRPr="001629C9">
        <w:lastRenderedPageBreak/>
        <w:t>Zajištění dlouhodobé bezpečnosti dodávek paliva (zásoby, kontrakty, fabrikační kapacity)</w:t>
      </w:r>
      <w:bookmarkEnd w:id="286"/>
      <w:bookmarkEnd w:id="287"/>
      <w:r w:rsidR="002C220D" w:rsidRPr="001629C9">
        <w:t xml:space="preserve"> </w:t>
      </w:r>
    </w:p>
    <w:p w:rsidR="00E551DB" w:rsidRPr="00E551DB" w:rsidRDefault="00F9256D" w:rsidP="00C706E5">
      <w:pPr>
        <w:jc w:val="both"/>
        <w:rPr>
          <w:rFonts w:eastAsia="Calibri"/>
        </w:rPr>
      </w:pPr>
      <w:r>
        <w:rPr>
          <w:rFonts w:eastAsia="Calibri"/>
        </w:rPr>
        <w:t>Současné zásoby paliva v ČR obvykle na 1 rok provozu jsou z hlediska energetické bezpečnosti zcela nedostatečné</w:t>
      </w:r>
      <w:r w:rsidR="000E42B0">
        <w:rPr>
          <w:rFonts w:eastAsia="Calibri"/>
        </w:rPr>
        <w:t>,</w:t>
      </w:r>
      <w:r>
        <w:rPr>
          <w:rFonts w:eastAsia="Calibri"/>
        </w:rPr>
        <w:t xml:space="preserve"> a to zejména s ohledem na dodavatele z Ruska a geopolitické souvislosti. </w:t>
      </w:r>
      <w:r w:rsidR="001629C9" w:rsidRPr="00EF13EA">
        <w:rPr>
          <w:rFonts w:eastAsia="Calibri"/>
        </w:rPr>
        <w:t xml:space="preserve">Vytvoření zásob jaderného paliva pro daný typ reaktorů je dnes </w:t>
      </w:r>
      <w:r>
        <w:rPr>
          <w:rFonts w:eastAsia="Calibri"/>
        </w:rPr>
        <w:t xml:space="preserve">všeobecně </w:t>
      </w:r>
      <w:r w:rsidR="001629C9" w:rsidRPr="00EF13EA">
        <w:rPr>
          <w:rFonts w:eastAsia="Calibri"/>
        </w:rPr>
        <w:t>použív</w:t>
      </w:r>
      <w:r>
        <w:rPr>
          <w:rFonts w:eastAsia="Calibri"/>
        </w:rPr>
        <w:t>áno</w:t>
      </w:r>
      <w:r w:rsidR="001629C9" w:rsidRPr="00EF13EA">
        <w:rPr>
          <w:rFonts w:eastAsia="Calibri"/>
        </w:rPr>
        <w:t>, n</w:t>
      </w:r>
      <w:r w:rsidR="001629C9">
        <w:rPr>
          <w:rFonts w:eastAsia="Calibri"/>
        </w:rPr>
        <w:t xml:space="preserve">ezajišťuje </w:t>
      </w:r>
      <w:r>
        <w:rPr>
          <w:rFonts w:eastAsia="Calibri"/>
        </w:rPr>
        <w:t xml:space="preserve">však </w:t>
      </w:r>
      <w:r w:rsidR="001629C9">
        <w:rPr>
          <w:rFonts w:eastAsia="Calibri"/>
        </w:rPr>
        <w:t xml:space="preserve">dlouhodobý výpadek a </w:t>
      </w:r>
      <w:r w:rsidR="001629C9" w:rsidRPr="00EF13EA">
        <w:rPr>
          <w:rFonts w:eastAsia="Calibri"/>
        </w:rPr>
        <w:t>v případě krize vyžaduje okamžitě začít s přípravou a licencováním alternativního paliva.</w:t>
      </w:r>
      <w:r w:rsidR="000E42B0">
        <w:rPr>
          <w:rFonts w:eastAsia="Calibri"/>
        </w:rPr>
        <w:t xml:space="preserve"> </w:t>
      </w:r>
      <w:r w:rsidR="00330EEB">
        <w:rPr>
          <w:rFonts w:eastAsia="Calibri"/>
        </w:rPr>
        <w:t xml:space="preserve">V </w:t>
      </w:r>
      <w:r w:rsidR="00330EEB" w:rsidRPr="00E551DB">
        <w:rPr>
          <w:rFonts w:eastAsia="Calibri"/>
        </w:rPr>
        <w:t xml:space="preserve">rámci SEK byl jako prioritní vymezen cíl na navýšení zásob jaderného paliva v ČR pro </w:t>
      </w:r>
      <w:r w:rsidR="00330EEB">
        <w:rPr>
          <w:rFonts w:eastAsia="Calibri"/>
        </w:rPr>
        <w:t xml:space="preserve">úplné </w:t>
      </w:r>
      <w:r w:rsidR="00330EEB" w:rsidRPr="00E551DB">
        <w:rPr>
          <w:rFonts w:eastAsia="Calibri"/>
        </w:rPr>
        <w:t>pokrytí jednoho čtyřletého palivového cyklu, a to včetně případného potřebného navýšení skladovacích kapacit.</w:t>
      </w:r>
      <w:r w:rsidR="001629C9" w:rsidRPr="00EF13EA">
        <w:rPr>
          <w:rFonts w:eastAsia="Calibri"/>
        </w:rPr>
        <w:t xml:space="preserve"> </w:t>
      </w:r>
    </w:p>
    <w:p w:rsidR="003651A8" w:rsidRDefault="003651A8" w:rsidP="003651A8">
      <w:pPr>
        <w:pStyle w:val="Nadpis3"/>
      </w:pPr>
      <w:bookmarkStart w:id="288" w:name="_Toc407035599"/>
      <w:bookmarkStart w:id="289" w:name="_Toc420056057"/>
      <w:r w:rsidRPr="00C56A7A">
        <w:t xml:space="preserve">Opatření pro oblast </w:t>
      </w:r>
      <w:r>
        <w:t>dlouhodobé bezpečnosti dodávek paliva</w:t>
      </w:r>
      <w:bookmarkEnd w:id="288"/>
      <w:bookmarkEnd w:id="289"/>
    </w:p>
    <w:p w:rsidR="00F83EF6" w:rsidRPr="00E656F5" w:rsidRDefault="00F83EF6" w:rsidP="00591E2F">
      <w:pPr>
        <w:pStyle w:val="Odstavecseseznamem"/>
        <w:numPr>
          <w:ilvl w:val="0"/>
          <w:numId w:val="98"/>
        </w:numPr>
        <w:spacing w:after="120"/>
        <w:ind w:left="714" w:hanging="357"/>
        <w:contextualSpacing w:val="0"/>
        <w:jc w:val="both"/>
        <w:rPr>
          <w:rFonts w:cs="Arial"/>
        </w:rPr>
      </w:pPr>
      <w:r w:rsidRPr="00E656F5">
        <w:rPr>
          <w:rFonts w:cs="Arial"/>
        </w:rPr>
        <w:t xml:space="preserve">Připravit studii nejvhodnějšího postupu zajištění zásob </w:t>
      </w:r>
      <w:r w:rsidR="00DD0436">
        <w:rPr>
          <w:rFonts w:cs="Arial"/>
        </w:rPr>
        <w:t>jaderného paliva</w:t>
      </w:r>
      <w:r w:rsidRPr="00E656F5">
        <w:rPr>
          <w:rFonts w:cs="Arial"/>
        </w:rPr>
        <w:t xml:space="preserve"> v rozsahu stanovené</w:t>
      </w:r>
      <w:r w:rsidR="00DD0436">
        <w:rPr>
          <w:rFonts w:cs="Arial"/>
        </w:rPr>
        <w:t>m</w:t>
      </w:r>
      <w:r w:rsidRPr="00E656F5">
        <w:rPr>
          <w:rFonts w:cs="Arial"/>
        </w:rPr>
        <w:t xml:space="preserve"> </w:t>
      </w:r>
      <w:r w:rsidR="005E762E">
        <w:rPr>
          <w:rFonts w:cs="Arial"/>
        </w:rPr>
        <w:t xml:space="preserve">v </w:t>
      </w:r>
      <w:r w:rsidRPr="00E656F5">
        <w:rPr>
          <w:rFonts w:cs="Arial"/>
        </w:rPr>
        <w:t>SEK</w:t>
      </w:r>
      <w:r w:rsidR="00E656F5" w:rsidRPr="00E656F5">
        <w:rPr>
          <w:rFonts w:cs="Arial"/>
        </w:rPr>
        <w:t xml:space="preserve"> pro </w:t>
      </w:r>
      <w:r w:rsidRPr="00E656F5">
        <w:rPr>
          <w:rFonts w:cs="Arial"/>
        </w:rPr>
        <w:t>pokrytí jednoho palivového cyklu všech JE.</w:t>
      </w:r>
    </w:p>
    <w:p w:rsidR="00F83EF6" w:rsidRPr="00E656F5" w:rsidRDefault="00F83EF6" w:rsidP="00591E2F">
      <w:pPr>
        <w:pStyle w:val="Odstavecseseznamem"/>
        <w:numPr>
          <w:ilvl w:val="1"/>
          <w:numId w:val="99"/>
        </w:numPr>
        <w:spacing w:before="120" w:after="0"/>
        <w:ind w:left="1440" w:hanging="357"/>
        <w:contextualSpacing w:val="0"/>
        <w:jc w:val="both"/>
      </w:pPr>
      <w:r w:rsidRPr="00CD5E88">
        <w:rPr>
          <w:u w:val="single"/>
        </w:rPr>
        <w:t>Zajistí:</w:t>
      </w:r>
      <w:r w:rsidRPr="00E656F5">
        <w:t xml:space="preserve"> MPO, spolupracuje: ČEZ</w:t>
      </w:r>
    </w:p>
    <w:p w:rsidR="00E656F5" w:rsidRPr="00E656F5" w:rsidRDefault="00E656F5" w:rsidP="00591E2F">
      <w:pPr>
        <w:pStyle w:val="Odstavecseseznamem"/>
        <w:numPr>
          <w:ilvl w:val="1"/>
          <w:numId w:val="99"/>
        </w:numPr>
        <w:spacing w:after="120"/>
        <w:ind w:left="1440" w:hanging="357"/>
        <w:contextualSpacing w:val="0"/>
        <w:jc w:val="both"/>
      </w:pPr>
      <w:r w:rsidRPr="00CD5E88">
        <w:rPr>
          <w:u w:val="single"/>
        </w:rPr>
        <w:t>Termín:</w:t>
      </w:r>
      <w:r w:rsidRPr="00E656F5">
        <w:t xml:space="preserve"> 31. 12. 2015</w:t>
      </w:r>
    </w:p>
    <w:p w:rsidR="00F83EF6" w:rsidRPr="00E656F5" w:rsidRDefault="00F83EF6" w:rsidP="00591E2F">
      <w:pPr>
        <w:pStyle w:val="Odstavecseseznamem"/>
        <w:numPr>
          <w:ilvl w:val="0"/>
          <w:numId w:val="98"/>
        </w:numPr>
        <w:spacing w:after="120"/>
        <w:ind w:left="714" w:hanging="357"/>
        <w:contextualSpacing w:val="0"/>
        <w:jc w:val="both"/>
        <w:rPr>
          <w:rFonts w:cs="Arial"/>
        </w:rPr>
      </w:pPr>
      <w:r w:rsidRPr="00E656F5">
        <w:rPr>
          <w:rFonts w:cs="Arial"/>
        </w:rPr>
        <w:t>Připravit legislativní rámec pro realizaci výstupů ze studie nejvhodnějšího postupu zajištění</w:t>
      </w:r>
      <w:r w:rsidR="001B3793">
        <w:rPr>
          <w:rFonts w:cs="Arial"/>
        </w:rPr>
        <w:t xml:space="preserve"> </w:t>
      </w:r>
      <w:r w:rsidR="00CD5E88">
        <w:rPr>
          <w:rFonts w:cs="Arial"/>
        </w:rPr>
        <w:t>jaderného paliva</w:t>
      </w:r>
      <w:r w:rsidR="008663F6">
        <w:rPr>
          <w:rFonts w:cs="Arial"/>
        </w:rPr>
        <w:t>.</w:t>
      </w:r>
    </w:p>
    <w:p w:rsidR="00F83EF6" w:rsidRPr="00E656F5" w:rsidRDefault="00F83EF6" w:rsidP="00591E2F">
      <w:pPr>
        <w:pStyle w:val="Odstavecseseznamem"/>
        <w:numPr>
          <w:ilvl w:val="1"/>
          <w:numId w:val="99"/>
        </w:numPr>
        <w:spacing w:before="120" w:after="0"/>
        <w:ind w:left="1440" w:hanging="357"/>
        <w:contextualSpacing w:val="0"/>
        <w:jc w:val="both"/>
      </w:pPr>
      <w:r w:rsidRPr="00CD5E88">
        <w:rPr>
          <w:u w:val="single"/>
        </w:rPr>
        <w:t>Zajistí:</w:t>
      </w:r>
      <w:r w:rsidRPr="00E656F5">
        <w:t xml:space="preserve"> MPO, spolupracuje MF</w:t>
      </w:r>
    </w:p>
    <w:p w:rsidR="00E656F5" w:rsidRDefault="00E656F5" w:rsidP="00591E2F">
      <w:pPr>
        <w:pStyle w:val="Odstavecseseznamem"/>
        <w:numPr>
          <w:ilvl w:val="1"/>
          <w:numId w:val="99"/>
        </w:numPr>
        <w:spacing w:after="120"/>
        <w:ind w:left="1440" w:hanging="357"/>
        <w:contextualSpacing w:val="0"/>
        <w:jc w:val="both"/>
      </w:pPr>
      <w:r w:rsidRPr="00CD5E88">
        <w:rPr>
          <w:u w:val="single"/>
        </w:rPr>
        <w:t>Termín:</w:t>
      </w:r>
      <w:r w:rsidRPr="00E656F5">
        <w:t xml:space="preserve"> 31. 12. 2016</w:t>
      </w:r>
    </w:p>
    <w:p w:rsidR="00712918" w:rsidRPr="00F433A0" w:rsidRDefault="00161671" w:rsidP="008663F6">
      <w:pPr>
        <w:pStyle w:val="Nadpis2"/>
        <w:keepNext/>
        <w:ind w:left="578" w:hanging="578"/>
      </w:pPr>
      <w:bookmarkStart w:id="290" w:name="_Toc407035601"/>
      <w:bookmarkStart w:id="291" w:name="_Toc420056058"/>
      <w:r w:rsidRPr="00F433A0">
        <w:t>Obnova a rozvoj lidských zdrojů</w:t>
      </w:r>
      <w:bookmarkEnd w:id="290"/>
      <w:bookmarkEnd w:id="291"/>
      <w:r w:rsidR="002C220D" w:rsidRPr="00F433A0">
        <w:t xml:space="preserve"> </w:t>
      </w:r>
    </w:p>
    <w:p w:rsidR="00712918" w:rsidRPr="00EB2CCF" w:rsidRDefault="00712918" w:rsidP="00712918">
      <w:pPr>
        <w:keepNext/>
        <w:jc w:val="both"/>
      </w:pPr>
      <w:r w:rsidRPr="00EB2CCF">
        <w:t>Podmínky pro udržení případně obnovu znalostní základny jsou:</w:t>
      </w:r>
    </w:p>
    <w:p w:rsidR="00712918" w:rsidRPr="00EB2CCF" w:rsidRDefault="00712918" w:rsidP="0044189F">
      <w:pPr>
        <w:pStyle w:val="Odstavecseseznamem"/>
        <w:numPr>
          <w:ilvl w:val="0"/>
          <w:numId w:val="68"/>
        </w:numPr>
        <w:spacing w:after="0"/>
        <w:jc w:val="both"/>
      </w:pPr>
      <w:r w:rsidRPr="00EB2CCF">
        <w:t>Jaderný obor je v ČR dlouholetou perspektivou zaměstnání pro odborníky z mnoha oblastí.</w:t>
      </w:r>
    </w:p>
    <w:p w:rsidR="00712918" w:rsidRPr="00EB2CCF" w:rsidRDefault="00712918" w:rsidP="0044189F">
      <w:pPr>
        <w:pStyle w:val="Odstavecseseznamem"/>
        <w:numPr>
          <w:ilvl w:val="1"/>
          <w:numId w:val="68"/>
        </w:numPr>
        <w:jc w:val="both"/>
      </w:pPr>
      <w:r w:rsidRPr="00EB2CCF">
        <w:t xml:space="preserve">Stát </w:t>
      </w:r>
      <w:r w:rsidR="002C7B81">
        <w:t xml:space="preserve">musí </w:t>
      </w:r>
      <w:r w:rsidRPr="00EB2CCF">
        <w:t>tuto skutečnost nejenom deklar</w:t>
      </w:r>
      <w:r w:rsidR="002C7B81">
        <w:t>ovat</w:t>
      </w:r>
      <w:r w:rsidRPr="00EB2CCF">
        <w:t xml:space="preserve">, ale </w:t>
      </w:r>
      <w:r w:rsidR="002C7B81">
        <w:t xml:space="preserve">rovněž </w:t>
      </w:r>
      <w:r w:rsidRPr="00EB2CCF">
        <w:t>vytv</w:t>
      </w:r>
      <w:r w:rsidR="002C7B81">
        <w:t>ořit</w:t>
      </w:r>
      <w:r w:rsidRPr="00EB2CCF">
        <w:t xml:space="preserve"> reálné podmínky/pobídky pro její naplnění (stipendia a zahraniční praxe studentů, podpora firem zaměřených na oblast jaderné energetiky při zaměstnávání mladých odborníků apod.)</w:t>
      </w:r>
      <w:r w:rsidR="008663F6">
        <w:t>.</w:t>
      </w:r>
    </w:p>
    <w:p w:rsidR="00712918" w:rsidRPr="00EB2CCF" w:rsidRDefault="00712918" w:rsidP="0044189F">
      <w:pPr>
        <w:pStyle w:val="Odstavecseseznamem"/>
        <w:numPr>
          <w:ilvl w:val="0"/>
          <w:numId w:val="68"/>
        </w:numPr>
        <w:spacing w:after="0"/>
        <w:jc w:val="both"/>
      </w:pPr>
      <w:r w:rsidRPr="00EB2CCF">
        <w:t>Soustředění stávajících znalostí/lidí do vzájemně majetkově provázaných společností nejlépe s podílem státu</w:t>
      </w:r>
      <w:r w:rsidR="008663F6">
        <w:t>.</w:t>
      </w:r>
    </w:p>
    <w:p w:rsidR="00712918" w:rsidRPr="00EB2CCF" w:rsidRDefault="00712918" w:rsidP="0044189F">
      <w:pPr>
        <w:pStyle w:val="Odstavecseseznamem"/>
        <w:numPr>
          <w:ilvl w:val="1"/>
          <w:numId w:val="68"/>
        </w:numPr>
        <w:jc w:val="both"/>
      </w:pPr>
      <w:r w:rsidRPr="00EB2CCF">
        <w:t>Buď ČEZ, nebo nová společnost s podílem státu, která bude vykonávat pozici investora pro nové bloky a zahájí přípravu jejich výstavby. Tam soustředit lidi s praxí a navázat na ně nové mladé odborníky, kteří mají reálný předpoklad projít celou přípravou a výstavbou nového bloku.</w:t>
      </w:r>
    </w:p>
    <w:p w:rsidR="00712918" w:rsidRPr="00EB2CCF" w:rsidRDefault="00712918" w:rsidP="0044189F">
      <w:pPr>
        <w:pStyle w:val="Odstavecseseznamem"/>
        <w:numPr>
          <w:ilvl w:val="0"/>
          <w:numId w:val="68"/>
        </w:numPr>
        <w:spacing w:after="0"/>
        <w:jc w:val="both"/>
      </w:pPr>
      <w:r w:rsidRPr="00EB2CCF">
        <w:t>Od budoucího dodavatele JE (nositele technologie primárního okruhu) požadovat i přenos know-how</w:t>
      </w:r>
      <w:r w:rsidR="008663F6">
        <w:t>.</w:t>
      </w:r>
    </w:p>
    <w:p w:rsidR="00712918" w:rsidRPr="00EB2CCF" w:rsidRDefault="00712918" w:rsidP="0044189F">
      <w:pPr>
        <w:pStyle w:val="Odstavecseseznamem"/>
        <w:numPr>
          <w:ilvl w:val="1"/>
          <w:numId w:val="68"/>
        </w:numPr>
        <w:jc w:val="both"/>
      </w:pPr>
      <w:r w:rsidRPr="00EB2CCF">
        <w:t xml:space="preserve">Dodavatel </w:t>
      </w:r>
      <w:r w:rsidR="00EF54F6">
        <w:t>poskytne know-how v rozsahu potřebném pro zajištění provozu a údržby včetně nezbytných modifikací, a to nezávisle na původním dodavateli technologie</w:t>
      </w:r>
      <w:r w:rsidR="008663F6">
        <w:t>.</w:t>
      </w:r>
    </w:p>
    <w:p w:rsidR="00712918" w:rsidRPr="00E21E21" w:rsidRDefault="00712918" w:rsidP="00712918">
      <w:pPr>
        <w:jc w:val="both"/>
      </w:pPr>
      <w:r w:rsidRPr="00EB2CCF">
        <w:t>Stěžejním pro udržení znalostní základny je zapojení do mezinárodních struktur a projektů. Podmínkou je úzké partnerství s dalšími zeměmi, které staví jaderné zdroje, spočívající mj. na výměně zkušeností a pracovníků, a dále zapojení do dalších projektů dodavatelů, kteří budou stavět nový jaderný zdroj v ČR.</w:t>
      </w:r>
    </w:p>
    <w:p w:rsidR="00712918" w:rsidRPr="00FA10A5" w:rsidRDefault="00712918" w:rsidP="00712918">
      <w:pPr>
        <w:jc w:val="both"/>
      </w:pPr>
      <w:r w:rsidRPr="00FA10A5">
        <w:lastRenderedPageBreak/>
        <w:t>Stát nemůže a nemusí podporovat celý vzdělávací cyklus přípravy odborníků pro jadernou energetiku. Čtyři segmenty však jsou z pohledu priorit nezbytné:</w:t>
      </w:r>
    </w:p>
    <w:p w:rsidR="00712918" w:rsidRPr="00FA10A5" w:rsidRDefault="00712918" w:rsidP="0044189F">
      <w:pPr>
        <w:pStyle w:val="Odstavecseseznamem"/>
        <w:numPr>
          <w:ilvl w:val="0"/>
          <w:numId w:val="5"/>
        </w:numPr>
        <w:spacing w:after="0"/>
        <w:jc w:val="both"/>
      </w:pPr>
      <w:r w:rsidRPr="00FA10A5">
        <w:t>Odborná středoškolská příprava pro energetiku</w:t>
      </w:r>
    </w:p>
    <w:p w:rsidR="00712918" w:rsidRPr="00FA10A5" w:rsidRDefault="00712918" w:rsidP="0044189F">
      <w:pPr>
        <w:pStyle w:val="Odstavecseseznamem"/>
        <w:numPr>
          <w:ilvl w:val="0"/>
          <w:numId w:val="5"/>
        </w:numPr>
        <w:spacing w:after="0"/>
        <w:jc w:val="both"/>
      </w:pPr>
      <w:r w:rsidRPr="00FA10A5">
        <w:t>Magisterská (inženýrská) část vysokoškolské přípravy</w:t>
      </w:r>
    </w:p>
    <w:p w:rsidR="00712918" w:rsidRPr="00FA10A5" w:rsidRDefault="00712918" w:rsidP="0044189F">
      <w:pPr>
        <w:pStyle w:val="Odstavecseseznamem"/>
        <w:numPr>
          <w:ilvl w:val="0"/>
          <w:numId w:val="5"/>
        </w:numPr>
        <w:spacing w:after="0"/>
        <w:jc w:val="both"/>
      </w:pPr>
      <w:r w:rsidRPr="00FA10A5">
        <w:t>Specificky orientovaná část doktorského studia</w:t>
      </w:r>
    </w:p>
    <w:p w:rsidR="00712918" w:rsidRPr="00FA10A5" w:rsidRDefault="00712918" w:rsidP="0044189F">
      <w:pPr>
        <w:pStyle w:val="Odstavecseseznamem"/>
        <w:numPr>
          <w:ilvl w:val="0"/>
          <w:numId w:val="5"/>
        </w:numPr>
        <w:ind w:left="714" w:hanging="357"/>
        <w:contextualSpacing w:val="0"/>
        <w:jc w:val="both"/>
      </w:pPr>
      <w:r w:rsidRPr="00FA10A5">
        <w:t xml:space="preserve">Specifický segment Celoživotního vzdělávání </w:t>
      </w:r>
    </w:p>
    <w:p w:rsidR="00712918" w:rsidRPr="00FA10A5" w:rsidRDefault="00712918" w:rsidP="00825739">
      <w:pPr>
        <w:jc w:val="both"/>
        <w:rPr>
          <w:u w:val="single"/>
        </w:rPr>
      </w:pPr>
      <w:r w:rsidRPr="00FA10A5">
        <w:rPr>
          <w:u w:val="single"/>
        </w:rPr>
        <w:t xml:space="preserve">Vysokoškolské vzdělávání 2. stupně – magistr a předstupeň – </w:t>
      </w:r>
      <w:r w:rsidR="00761799">
        <w:rPr>
          <w:u w:val="single"/>
        </w:rPr>
        <w:t xml:space="preserve">střední </w:t>
      </w:r>
      <w:r w:rsidRPr="00FA10A5">
        <w:rPr>
          <w:u w:val="single"/>
        </w:rPr>
        <w:t>odborné vzdělávání pro energetiku</w:t>
      </w:r>
    </w:p>
    <w:p w:rsidR="00712918" w:rsidRPr="00FA10A5" w:rsidRDefault="00712918" w:rsidP="0044189F">
      <w:pPr>
        <w:pStyle w:val="Odstavecseseznamem"/>
        <w:numPr>
          <w:ilvl w:val="0"/>
          <w:numId w:val="6"/>
        </w:numPr>
        <w:spacing w:line="240" w:lineRule="auto"/>
        <w:ind w:left="714" w:hanging="357"/>
        <w:jc w:val="both"/>
      </w:pPr>
      <w:r w:rsidRPr="00FA10A5">
        <w:t>Odborná středoškolská příprava pro energetiku</w:t>
      </w:r>
    </w:p>
    <w:p w:rsidR="00712918" w:rsidRPr="00FA10A5" w:rsidRDefault="00712918" w:rsidP="00712918">
      <w:pPr>
        <w:ind w:left="426"/>
        <w:jc w:val="both"/>
      </w:pPr>
      <w:r w:rsidRPr="00FA10A5">
        <w:t xml:space="preserve">Tuto součást odborného vzdělávání mohou efektivně podporovat pouze provozovatelé jaderných zdrojů a dodavatelé pro jadernou energetiku. Podpora vzdělávání pro energetiku obecně by proto měla být součástí regionálních energetických koncepcí (zákon </w:t>
      </w:r>
      <w:r w:rsidR="00E52399">
        <w:t>o hospodaření energií</w:t>
      </w:r>
      <w:r w:rsidRPr="00FA10A5">
        <w:t>) a to tím více, že v ČR je stále ještě mobilita pracovních sil významně nižší než ve většině zemí OECD a současné trendy naznačují pouze evoluci, nikoliv dramatickou změnu v oblasti mobility a to zejména u středoškolských odborností.</w:t>
      </w:r>
    </w:p>
    <w:p w:rsidR="00712918" w:rsidRPr="00FA10A5" w:rsidRDefault="00712918" w:rsidP="0044189F">
      <w:pPr>
        <w:pStyle w:val="Odstavecseseznamem"/>
        <w:numPr>
          <w:ilvl w:val="0"/>
          <w:numId w:val="6"/>
        </w:numPr>
        <w:spacing w:line="240" w:lineRule="auto"/>
        <w:ind w:left="714" w:hanging="357"/>
        <w:contextualSpacing w:val="0"/>
        <w:jc w:val="both"/>
      </w:pPr>
      <w:r w:rsidRPr="00FA10A5">
        <w:t>Magisterská (inženýrská) část vysokoškolské přípravy</w:t>
      </w:r>
    </w:p>
    <w:p w:rsidR="00712918" w:rsidRPr="00FA10A5" w:rsidRDefault="00712918" w:rsidP="00712918">
      <w:pPr>
        <w:ind w:left="425"/>
        <w:jc w:val="both"/>
      </w:pPr>
      <w:r w:rsidRPr="00FA10A5">
        <w:t>VŠ příprava musí být nutně multidisciplinární, v plné šíři ji nezajistí ani jedna samotná VŠ (a již vůbec ne jedna fakulta)</w:t>
      </w:r>
      <w:r w:rsidR="009C68ED">
        <w:t xml:space="preserve"> </w:t>
      </w:r>
      <w:r w:rsidRPr="00FA10A5">
        <w:t>v rámci ČR.</w:t>
      </w:r>
    </w:p>
    <w:p w:rsidR="00712918" w:rsidRPr="00FA10A5" w:rsidRDefault="00712918" w:rsidP="00712918">
      <w:pPr>
        <w:ind w:left="425"/>
        <w:jc w:val="both"/>
      </w:pPr>
      <w:r w:rsidRPr="00FA10A5">
        <w:t xml:space="preserve">Schůdnou cestou je horizontálně orientovaný studijní program napříč fakultami a vybranými VŠ s přímou účastí odborníků z praxe a výzkumu a se zapojením kvalifikovaného zahraničního segmentu odborníků. Orientačním základem by měla být dobrovolnická evropská síť jaderného vzdělávání ENEN jeho česká mutace </w:t>
      </w:r>
      <w:r w:rsidR="00F577A5">
        <w:t>(</w:t>
      </w:r>
      <w:r w:rsidR="00F577A5" w:rsidRPr="00F577A5">
        <w:t xml:space="preserve">Czech </w:t>
      </w:r>
      <w:proofErr w:type="spellStart"/>
      <w:r w:rsidR="00F577A5" w:rsidRPr="00F577A5">
        <w:t>Nuclear</w:t>
      </w:r>
      <w:proofErr w:type="spellEnd"/>
      <w:r w:rsidR="00F577A5" w:rsidRPr="00F577A5">
        <w:t xml:space="preserve"> </w:t>
      </w:r>
      <w:proofErr w:type="spellStart"/>
      <w:r w:rsidR="00F577A5" w:rsidRPr="00F577A5">
        <w:t>Education</w:t>
      </w:r>
      <w:proofErr w:type="spellEnd"/>
      <w:r w:rsidR="00F577A5" w:rsidRPr="00F577A5">
        <w:t xml:space="preserve"> Network </w:t>
      </w:r>
      <w:r w:rsidR="00F577A5" w:rsidRPr="00FA10A5">
        <w:t>–</w:t>
      </w:r>
      <w:r w:rsidR="00F577A5">
        <w:t xml:space="preserve"> </w:t>
      </w:r>
      <w:r w:rsidRPr="00FA10A5">
        <w:t>CENEN</w:t>
      </w:r>
      <w:r w:rsidR="00F577A5">
        <w:t>)</w:t>
      </w:r>
      <w:r w:rsidRPr="00FA10A5">
        <w:t>.</w:t>
      </w:r>
    </w:p>
    <w:p w:rsidR="00712918" w:rsidRPr="00FA10A5" w:rsidRDefault="00712918" w:rsidP="00712918">
      <w:pPr>
        <w:ind w:left="425"/>
        <w:jc w:val="both"/>
      </w:pPr>
      <w:r w:rsidRPr="00FA10A5">
        <w:t>Způsob systémové podpory technických oborů (a případná výběrová selekce) by měla být výsledkem návrhu a způsobu realizace účelově směřované podpory tří subjektů: státu (MŠMT, MPO, MMR), provozovatelů jaderných zařízení a potenciálních dodavatelů.</w:t>
      </w:r>
    </w:p>
    <w:p w:rsidR="00712918" w:rsidRPr="00FA10A5" w:rsidRDefault="00712918" w:rsidP="00A9339D">
      <w:pPr>
        <w:spacing w:after="240"/>
        <w:ind w:left="425"/>
        <w:jc w:val="both"/>
      </w:pPr>
      <w:r w:rsidRPr="00FA10A5">
        <w:t>Pravděpodobně nejúčinnější dohadovací i případně řídící formou by mohla být obdoba „výboru pro…“, neboť takováto úroveň bude pravděpodobně nezbytná i z hlediska financování a realizace dalšího jaderného zdroje. – vygenerovat z toho úkol pro systém řízení v oblasti vzdělávání.</w:t>
      </w:r>
    </w:p>
    <w:p w:rsidR="00712918" w:rsidRPr="00FA10A5" w:rsidRDefault="00712918" w:rsidP="00712918">
      <w:pPr>
        <w:rPr>
          <w:u w:val="single"/>
        </w:rPr>
      </w:pPr>
      <w:r w:rsidRPr="00FA10A5">
        <w:rPr>
          <w:u w:val="single"/>
        </w:rPr>
        <w:t xml:space="preserve">Vysokoškolské vzdělávání 3. stupeň – doktor a </w:t>
      </w:r>
      <w:r w:rsidR="00227C7E">
        <w:rPr>
          <w:u w:val="single"/>
        </w:rPr>
        <w:t>celoživotní vzdělávání (</w:t>
      </w:r>
      <w:r w:rsidRPr="00FA10A5">
        <w:rPr>
          <w:u w:val="single"/>
        </w:rPr>
        <w:t>CŽV</w:t>
      </w:r>
      <w:r w:rsidR="00227C7E">
        <w:rPr>
          <w:u w:val="single"/>
        </w:rPr>
        <w:t>)</w:t>
      </w:r>
    </w:p>
    <w:p w:rsidR="00712918" w:rsidRPr="00FA10A5" w:rsidRDefault="00712918" w:rsidP="00712918">
      <w:pPr>
        <w:jc w:val="both"/>
      </w:pPr>
      <w:r w:rsidRPr="00FA10A5">
        <w:t>Tato část odborné přípravy lidských zdrojů patří k nejvyšší prioritě. Jedná se především o</w:t>
      </w:r>
      <w:r w:rsidR="001B3793">
        <w:t> </w:t>
      </w:r>
      <w:r w:rsidRPr="00FA10A5">
        <w:t xml:space="preserve">problematiku TSO, která zahrnuje celý proces licencování jaderných zdrojů a státní odborný dohled (SÚJB), který není na fázi výstavby jednoho nebo dokonce dvou zdrojů ve dvou lokalitách z hlediska lidských </w:t>
      </w:r>
      <w:r w:rsidR="00132969">
        <w:t xml:space="preserve">a finančních </w:t>
      </w:r>
      <w:r w:rsidRPr="00FA10A5">
        <w:t>zdrojů připraven.</w:t>
      </w:r>
    </w:p>
    <w:p w:rsidR="00712918" w:rsidRPr="00FA10A5" w:rsidRDefault="00712918" w:rsidP="00712918">
      <w:pPr>
        <w:jc w:val="both"/>
      </w:pPr>
      <w:r w:rsidRPr="00FA10A5">
        <w:t>Z tohoto hlediska je nezastupitelná účast SÚJB na přípravě a zajišťování lidských zdrojů z hlediska kvalifikace a základních nezbytných počtů v konkrétním časovém horizontu. Začátek přípravy z časového hledisk</w:t>
      </w:r>
      <w:r w:rsidR="009C68ED">
        <w:t>a je již dnes ve velkém skluzu.</w:t>
      </w:r>
    </w:p>
    <w:p w:rsidR="00712918" w:rsidRPr="00FA10A5" w:rsidRDefault="00712918" w:rsidP="00712918">
      <w:pPr>
        <w:jc w:val="both"/>
      </w:pPr>
      <w:r w:rsidRPr="00FA10A5">
        <w:lastRenderedPageBreak/>
        <w:t>Pro efektivní nápravu jsou nezbytné priority:</w:t>
      </w:r>
    </w:p>
    <w:p w:rsidR="00712918" w:rsidRPr="00FA10A5" w:rsidRDefault="00712918" w:rsidP="0044189F">
      <w:pPr>
        <w:pStyle w:val="Odstavecseseznamem"/>
        <w:numPr>
          <w:ilvl w:val="0"/>
          <w:numId w:val="7"/>
        </w:numPr>
        <w:spacing w:before="120" w:after="120"/>
        <w:jc w:val="both"/>
      </w:pPr>
      <w:r w:rsidRPr="00FA10A5">
        <w:t>Účast a specifická funkce SÚJB v přípravě realizace a podpory pro 2. stupeň VŠ technického vzdělávání</w:t>
      </w:r>
    </w:p>
    <w:p w:rsidR="00712918" w:rsidRPr="00FA10A5" w:rsidRDefault="00712918" w:rsidP="0044189F">
      <w:pPr>
        <w:pStyle w:val="Odstavecseseznamem"/>
        <w:numPr>
          <w:ilvl w:val="0"/>
          <w:numId w:val="7"/>
        </w:numPr>
        <w:spacing w:before="120" w:after="120"/>
        <w:jc w:val="both"/>
      </w:pPr>
      <w:r w:rsidRPr="00FA10A5">
        <w:t>Selektivní rozšíření působnosti instituce pro přípravu a realizace podpory 2. stupně VŠ vzdělávání na 3. stupeň a specificky orientované CŽV</w:t>
      </w:r>
    </w:p>
    <w:p w:rsidR="00712918" w:rsidRPr="00FA10A5" w:rsidRDefault="00712918" w:rsidP="0044189F">
      <w:pPr>
        <w:pStyle w:val="Odstavecseseznamem"/>
        <w:numPr>
          <w:ilvl w:val="0"/>
          <w:numId w:val="7"/>
        </w:numPr>
        <w:spacing w:before="120" w:after="120"/>
        <w:jc w:val="both"/>
      </w:pPr>
      <w:r w:rsidRPr="00FA10A5">
        <w:t>Vznik (transformace) Národní výzkumné jaderné laboratoře, která by zajišťovala nezbytnou experimentální a certifikační základnu TSO a současně byla součástí výchovného systému odborníků s nejvyšší odbornou kvalifikací v jaderné energetice.</w:t>
      </w:r>
    </w:p>
    <w:p w:rsidR="00712918" w:rsidRPr="00FA10A5" w:rsidRDefault="00712918" w:rsidP="00712918">
      <w:pPr>
        <w:rPr>
          <w:u w:val="single"/>
        </w:rPr>
      </w:pPr>
      <w:r w:rsidRPr="00FA10A5">
        <w:rPr>
          <w:u w:val="single"/>
        </w:rPr>
        <w:t>Projektové kapacity</w:t>
      </w:r>
    </w:p>
    <w:p w:rsidR="00712918" w:rsidRPr="00FA10A5" w:rsidRDefault="00712918" w:rsidP="00712918">
      <w:pPr>
        <w:jc w:val="both"/>
      </w:pPr>
      <w:r w:rsidRPr="00FA10A5">
        <w:t xml:space="preserve">Projektové kapacity plně souvisí se segmentem </w:t>
      </w:r>
      <w:r w:rsidR="00761799">
        <w:t xml:space="preserve">středního </w:t>
      </w:r>
      <w:r w:rsidRPr="00FA10A5">
        <w:t xml:space="preserve">a 2. stupně vzdělávání. </w:t>
      </w:r>
    </w:p>
    <w:p w:rsidR="00C56A7A" w:rsidRDefault="00EF54F6" w:rsidP="00712918">
      <w:pPr>
        <w:jc w:val="both"/>
      </w:pPr>
      <w:r>
        <w:t>J</w:t>
      </w:r>
      <w:r w:rsidR="00712918" w:rsidRPr="00FA10A5">
        <w:t>e nutno si uvědomit</w:t>
      </w:r>
      <w:r w:rsidR="009C68ED">
        <w:t>, že</w:t>
      </w:r>
      <w:r w:rsidR="00712918" w:rsidRPr="00FA10A5">
        <w:t xml:space="preserve"> doba výchovy absolventa po samostatně pracujícího inženýra trvá cca 4 – 6 let pro variantu, že absolvent má základní odborné znalosti pro daný obor. V případě nutnosti přeškolení a doplnění požadovaných základních znalostí je nutno uvažovat minimálně s dvouletým prodloužením doby výchovy.</w:t>
      </w:r>
      <w:r w:rsidR="00712918">
        <w:t xml:space="preserve"> </w:t>
      </w:r>
    </w:p>
    <w:p w:rsidR="00C56A7A" w:rsidRPr="002E4520" w:rsidRDefault="00C56A7A" w:rsidP="002E4520">
      <w:pPr>
        <w:pStyle w:val="Nadpis3"/>
        <w:rPr>
          <w:b w:val="0"/>
        </w:rPr>
      </w:pPr>
      <w:bookmarkStart w:id="292" w:name="_Toc407035602"/>
      <w:bookmarkStart w:id="293" w:name="_Toc420056059"/>
      <w:r w:rsidRPr="00C56A7A">
        <w:t>Opatření pro oblast obnovy a rozvoje lidských zdrojů</w:t>
      </w:r>
      <w:bookmarkEnd w:id="292"/>
      <w:bookmarkEnd w:id="293"/>
    </w:p>
    <w:p w:rsidR="0023231E" w:rsidRDefault="00D212F8" w:rsidP="00591E2F">
      <w:pPr>
        <w:pStyle w:val="Odstavecseseznamem"/>
        <w:keepNext/>
        <w:numPr>
          <w:ilvl w:val="0"/>
          <w:numId w:val="92"/>
        </w:numPr>
        <w:spacing w:after="120"/>
        <w:ind w:left="782" w:hanging="357"/>
        <w:contextualSpacing w:val="0"/>
        <w:jc w:val="both"/>
      </w:pPr>
      <w:r w:rsidRPr="002E4520">
        <w:t xml:space="preserve">Podpora </w:t>
      </w:r>
      <w:r>
        <w:t>zkvalitnění a úpravy vzdělávacího systému na všech stupních s cílem zajistit požadavky na lidské zdroje dle NAP JE</w:t>
      </w:r>
      <w:r w:rsidR="00CD5E88">
        <w:t>.</w:t>
      </w:r>
    </w:p>
    <w:p w:rsidR="00D212F8" w:rsidRDefault="00D212F8" w:rsidP="00591E2F">
      <w:pPr>
        <w:pStyle w:val="Odstavecseseznamem"/>
        <w:keepNext/>
        <w:numPr>
          <w:ilvl w:val="1"/>
          <w:numId w:val="92"/>
        </w:numPr>
        <w:spacing w:before="120" w:after="0"/>
        <w:ind w:left="1434" w:hanging="357"/>
        <w:contextualSpacing w:val="0"/>
        <w:jc w:val="both"/>
      </w:pPr>
      <w:r w:rsidRPr="00CD5E88">
        <w:rPr>
          <w:u w:val="single"/>
        </w:rPr>
        <w:t>Zajistí:</w:t>
      </w:r>
      <w:r>
        <w:t xml:space="preserve"> MŠMT</w:t>
      </w:r>
    </w:p>
    <w:p w:rsidR="00D212F8" w:rsidRDefault="00D212F8" w:rsidP="00591E2F">
      <w:pPr>
        <w:pStyle w:val="Odstavecseseznamem"/>
        <w:numPr>
          <w:ilvl w:val="1"/>
          <w:numId w:val="92"/>
        </w:numPr>
        <w:spacing w:after="240"/>
        <w:ind w:left="1434" w:hanging="357"/>
        <w:jc w:val="both"/>
      </w:pPr>
      <w:r w:rsidRPr="00CD5E88">
        <w:rPr>
          <w:u w:val="single"/>
        </w:rPr>
        <w:t>Termín:</w:t>
      </w:r>
      <w:r>
        <w:t xml:space="preserve"> Průběžně</w:t>
      </w:r>
    </w:p>
    <w:p w:rsidR="003651A8" w:rsidRDefault="003651A8" w:rsidP="003651A8">
      <w:pPr>
        <w:pStyle w:val="Nadpis2"/>
      </w:pPr>
      <w:bookmarkStart w:id="294" w:name="_Toc407035603"/>
      <w:bookmarkStart w:id="295" w:name="_Toc420056060"/>
      <w:r w:rsidRPr="00BE36DC">
        <w:t xml:space="preserve">Podpora </w:t>
      </w:r>
      <w:r w:rsidR="002C7B81">
        <w:t xml:space="preserve">českého </w:t>
      </w:r>
      <w:r w:rsidRPr="00BE36DC">
        <w:t>jaderného průmyslu</w:t>
      </w:r>
      <w:bookmarkEnd w:id="294"/>
      <w:bookmarkEnd w:id="295"/>
      <w:r w:rsidRPr="00BE36DC">
        <w:t xml:space="preserve"> </w:t>
      </w:r>
    </w:p>
    <w:p w:rsidR="003651A8" w:rsidRDefault="003651A8" w:rsidP="003651A8">
      <w:pPr>
        <w:jc w:val="both"/>
      </w:pPr>
      <w:r>
        <w:t>Cílem je rozvoj a udržení efektivního domácího dodavatelského řetězce pro výstavbu, provoz i odstavování JE doma i v zahraničí, se všemi pozitivními dopady pro tvorbu HDP, zaměstnanost i udržení si know-how a přiměřenou míru strategické nezávislosti.</w:t>
      </w:r>
    </w:p>
    <w:p w:rsidR="003651A8" w:rsidRDefault="003651A8" w:rsidP="003651A8">
      <w:pPr>
        <w:pStyle w:val="Nadpis3"/>
      </w:pPr>
      <w:bookmarkStart w:id="296" w:name="_Toc407035604"/>
      <w:bookmarkStart w:id="297" w:name="_Toc420056061"/>
      <w:r w:rsidRPr="00C56A7A">
        <w:t xml:space="preserve">Opatření pro </w:t>
      </w:r>
      <w:bookmarkEnd w:id="296"/>
      <w:r w:rsidR="00D212F8">
        <w:t>podporu českého jaderného průmyslu</w:t>
      </w:r>
      <w:bookmarkEnd w:id="297"/>
    </w:p>
    <w:p w:rsidR="003651A8" w:rsidRDefault="003651A8" w:rsidP="00591E2F">
      <w:pPr>
        <w:pStyle w:val="Odstavecseseznamem"/>
        <w:numPr>
          <w:ilvl w:val="0"/>
          <w:numId w:val="143"/>
        </w:numPr>
        <w:spacing w:after="120"/>
        <w:ind w:left="714" w:hanging="357"/>
        <w:contextualSpacing w:val="0"/>
        <w:jc w:val="both"/>
      </w:pPr>
      <w:r>
        <w:t>Při rozhodování o investorsko-obchodní</w:t>
      </w:r>
      <w:r w:rsidR="009C68ED">
        <w:t>m</w:t>
      </w:r>
      <w:r>
        <w:t xml:space="preserve"> modelu pro výstavbu nových JE v ČR preferovat takový model, který vytvoří dostatečný tlak na dosažení významného podílu dodávek z ČR při výstavbě NJZ</w:t>
      </w:r>
      <w:r w:rsidR="009C68ED">
        <w:t>.</w:t>
      </w:r>
    </w:p>
    <w:p w:rsidR="00CD5E88" w:rsidRDefault="00CD5E88" w:rsidP="00591E2F">
      <w:pPr>
        <w:pStyle w:val="Odstavecseseznamem"/>
        <w:keepNext/>
        <w:numPr>
          <w:ilvl w:val="0"/>
          <w:numId w:val="113"/>
        </w:numPr>
        <w:spacing w:before="120" w:after="0"/>
        <w:ind w:left="1434" w:hanging="357"/>
        <w:contextualSpacing w:val="0"/>
        <w:jc w:val="both"/>
      </w:pPr>
      <w:r w:rsidRPr="00CD5E88">
        <w:rPr>
          <w:u w:val="single"/>
        </w:rPr>
        <w:t>Zajistí:</w:t>
      </w:r>
      <w:r>
        <w:t xml:space="preserve"> Vláda ČR</w:t>
      </w:r>
    </w:p>
    <w:p w:rsidR="00CD5E88" w:rsidRDefault="00CD5E88" w:rsidP="00591E2F">
      <w:pPr>
        <w:pStyle w:val="Odstavecseseznamem"/>
        <w:numPr>
          <w:ilvl w:val="0"/>
          <w:numId w:val="113"/>
        </w:numPr>
        <w:spacing w:after="120"/>
        <w:ind w:left="1434" w:hanging="357"/>
        <w:contextualSpacing w:val="0"/>
        <w:jc w:val="both"/>
      </w:pPr>
      <w:r w:rsidRPr="00CD5E88">
        <w:rPr>
          <w:u w:val="single"/>
        </w:rPr>
        <w:t>Termín:</w:t>
      </w:r>
      <w:r>
        <w:t xml:space="preserve"> 30. 6. 2015</w:t>
      </w:r>
    </w:p>
    <w:p w:rsidR="003651A8" w:rsidRPr="00F235F5" w:rsidRDefault="00F235F5" w:rsidP="00591E2F">
      <w:pPr>
        <w:pStyle w:val="Odstavecseseznamem"/>
        <w:numPr>
          <w:ilvl w:val="0"/>
          <w:numId w:val="143"/>
        </w:numPr>
        <w:spacing w:after="120"/>
        <w:ind w:left="714" w:hanging="357"/>
        <w:contextualSpacing w:val="0"/>
        <w:jc w:val="both"/>
      </w:pPr>
      <w:r w:rsidRPr="002E4520">
        <w:t>Podporovat cíleně prosazování českého jaderného průmyslu ve vybraných prioritních zemích</w:t>
      </w:r>
      <w:r w:rsidR="009C68ED">
        <w:t>.</w:t>
      </w:r>
    </w:p>
    <w:p w:rsidR="00CD5E88" w:rsidRDefault="00CD5E88" w:rsidP="00591E2F">
      <w:pPr>
        <w:pStyle w:val="Odstavecseseznamem"/>
        <w:keepNext/>
        <w:numPr>
          <w:ilvl w:val="0"/>
          <w:numId w:val="114"/>
        </w:numPr>
        <w:spacing w:before="120" w:after="0"/>
        <w:ind w:left="1434" w:hanging="357"/>
        <w:contextualSpacing w:val="0"/>
        <w:jc w:val="both"/>
      </w:pPr>
      <w:r w:rsidRPr="00CD5E88">
        <w:rPr>
          <w:u w:val="single"/>
        </w:rPr>
        <w:t>Zajistí:</w:t>
      </w:r>
      <w:r>
        <w:t xml:space="preserve"> MPO, MZV. Czech </w:t>
      </w:r>
      <w:proofErr w:type="spellStart"/>
      <w:r>
        <w:t>Trade</w:t>
      </w:r>
      <w:proofErr w:type="spellEnd"/>
    </w:p>
    <w:p w:rsidR="00851303" w:rsidRDefault="00CD5E88" w:rsidP="00591E2F">
      <w:pPr>
        <w:pStyle w:val="Odstavecseseznamem"/>
        <w:numPr>
          <w:ilvl w:val="0"/>
          <w:numId w:val="114"/>
        </w:numPr>
        <w:spacing w:after="240"/>
        <w:ind w:left="1434" w:hanging="357"/>
        <w:contextualSpacing w:val="0"/>
        <w:jc w:val="both"/>
      </w:pPr>
      <w:r w:rsidRPr="00591E2F">
        <w:rPr>
          <w:u w:val="single"/>
        </w:rPr>
        <w:t>Termín:</w:t>
      </w:r>
      <w:r>
        <w:t xml:space="preserve"> průběžně</w:t>
      </w:r>
    </w:p>
    <w:p w:rsidR="00851303" w:rsidRDefault="00851303">
      <w:r>
        <w:br w:type="page"/>
      </w:r>
    </w:p>
    <w:p w:rsidR="006677BF" w:rsidRPr="00911C55" w:rsidRDefault="0043099A" w:rsidP="00911C55">
      <w:pPr>
        <w:pStyle w:val="Nadpis2"/>
      </w:pPr>
      <w:bookmarkStart w:id="298" w:name="_Toc407035605"/>
      <w:bookmarkStart w:id="299" w:name="_Toc420056062"/>
      <w:r>
        <w:lastRenderedPageBreak/>
        <w:t>Výzkum a vývoj v oblasti jaderné energetiky</w:t>
      </w:r>
      <w:bookmarkEnd w:id="298"/>
      <w:bookmarkEnd w:id="299"/>
    </w:p>
    <w:p w:rsidR="00E21E21" w:rsidRDefault="00E21E21" w:rsidP="00467E27">
      <w:pPr>
        <w:jc w:val="both"/>
        <w:rPr>
          <w:rFonts w:cs="Times New Roman"/>
        </w:rPr>
      </w:pPr>
      <w:r w:rsidRPr="00E21E21">
        <w:rPr>
          <w:rFonts w:cs="Times New Roman"/>
        </w:rPr>
        <w:t>V oblasti provozního výzkumu je aktuální potřeba výzkumu a vývoje v oblasti zvyšování bezpečnosti a spolehlivosti, snižování nákladů a prodlužování životnosti provozu jaderných elektráren. Významným rysem je ještě vyšší míra internacionalizace jaderného výzkumu vzhledem k požadavku zvýšení bezpečnosti provozu jaderných elektráren. Toto platí jak pro stávající, tak pro budoucí I</w:t>
      </w:r>
      <w:r w:rsidR="00BA24EC">
        <w:rPr>
          <w:rFonts w:cs="Times New Roman"/>
        </w:rPr>
        <w:t>V. generaci jaderných reaktorů.</w:t>
      </w:r>
    </w:p>
    <w:p w:rsidR="00AA1D84" w:rsidRPr="002E4520" w:rsidRDefault="0043099A" w:rsidP="00467E27">
      <w:pPr>
        <w:jc w:val="both"/>
        <w:rPr>
          <w:rFonts w:eastAsiaTheme="minorEastAsia" w:cs="Times New Roman"/>
          <w:kern w:val="24"/>
        </w:rPr>
      </w:pPr>
      <w:r w:rsidRPr="002E4520">
        <w:rPr>
          <w:rFonts w:eastAsiaTheme="minorEastAsia" w:cs="Times New Roman"/>
          <w:kern w:val="24"/>
        </w:rPr>
        <w:t xml:space="preserve">Výzkum bude prioritně zaměřen do následujících 4 oblastí: </w:t>
      </w:r>
    </w:p>
    <w:p w:rsidR="00E21E21" w:rsidRPr="00E21E21" w:rsidRDefault="00E21E21" w:rsidP="00467E27">
      <w:pPr>
        <w:jc w:val="both"/>
        <w:rPr>
          <w:rFonts w:cs="Times New Roman"/>
          <w:b/>
          <w:bCs/>
        </w:rPr>
      </w:pPr>
      <w:r w:rsidRPr="00E21E21">
        <w:rPr>
          <w:rFonts w:cs="Times New Roman"/>
          <w:b/>
          <w:bCs/>
        </w:rPr>
        <w:t xml:space="preserve">Podpora bezpečnosti jaderných zařízení </w:t>
      </w:r>
      <w:r w:rsidRPr="00E21E21">
        <w:rPr>
          <w:rFonts w:cs="Times New Roman"/>
          <w:bCs/>
          <w:i/>
        </w:rPr>
        <w:t>(Prioritní dílčí cíl 1.2.2 prioritní oblasti Udržitelnost energetiky a materiálových zdrojů)</w:t>
      </w:r>
      <w:r w:rsidRPr="00E21E21">
        <w:rPr>
          <w:rStyle w:val="Znakapoznpodarou"/>
          <w:rFonts w:cs="Times New Roman"/>
          <w:b/>
          <w:bCs/>
        </w:rPr>
        <w:footnoteReference w:id="17"/>
      </w:r>
    </w:p>
    <w:p w:rsidR="00E21E21" w:rsidRPr="00E21E21" w:rsidRDefault="00E21E21" w:rsidP="0044189F">
      <w:pPr>
        <w:pStyle w:val="Odstavecseseznamem"/>
        <w:numPr>
          <w:ilvl w:val="0"/>
          <w:numId w:val="50"/>
        </w:numPr>
        <w:spacing w:after="0"/>
        <w:jc w:val="both"/>
        <w:rPr>
          <w:rFonts w:cs="Times New Roman"/>
          <w:bCs/>
        </w:rPr>
      </w:pPr>
      <w:r w:rsidRPr="00E21E21">
        <w:rPr>
          <w:rFonts w:cs="Times New Roman"/>
          <w:bCs/>
        </w:rPr>
        <w:t>Podpora bezpečnosti pro potřeby dozorných orgánů</w:t>
      </w:r>
    </w:p>
    <w:p w:rsidR="00E21E21" w:rsidRPr="00E21E21" w:rsidRDefault="00E21E21" w:rsidP="0044189F">
      <w:pPr>
        <w:pStyle w:val="Odstavecseseznamem"/>
        <w:numPr>
          <w:ilvl w:val="0"/>
          <w:numId w:val="50"/>
        </w:numPr>
        <w:ind w:left="714" w:hanging="357"/>
        <w:jc w:val="both"/>
        <w:rPr>
          <w:rFonts w:cs="Times New Roman"/>
          <w:b/>
        </w:rPr>
      </w:pPr>
      <w:r w:rsidRPr="00E21E21">
        <w:rPr>
          <w:rFonts w:cs="Times New Roman"/>
        </w:rPr>
        <w:t xml:space="preserve">Podpora bezpečnosti provozovaných a připravovaných jaderných zařízení </w:t>
      </w:r>
    </w:p>
    <w:p w:rsidR="00E21E21" w:rsidRPr="00E21E21" w:rsidRDefault="00E21E21" w:rsidP="00A9339D">
      <w:pPr>
        <w:spacing w:after="240"/>
        <w:jc w:val="both"/>
        <w:rPr>
          <w:rFonts w:cs="Times New Roman"/>
          <w:bCs/>
        </w:rPr>
      </w:pPr>
      <w:r w:rsidRPr="00E21E21">
        <w:rPr>
          <w:lang w:bidi="sd-Deva-IN"/>
        </w:rPr>
        <w:t xml:space="preserve">Výzkum a vývoj musí přispívat ke zvyšování jaderné bezpečnosti jak provozovaných, tak </w:t>
      </w:r>
      <w:r w:rsidRPr="00E21E21">
        <w:rPr>
          <w:rFonts w:cs="Times New Roman"/>
        </w:rPr>
        <w:t>připravovaných jaderných zařízení.</w:t>
      </w:r>
      <w:r w:rsidRPr="00E21E21">
        <w:rPr>
          <w:lang w:bidi="sd-Deva-IN"/>
        </w:rPr>
        <w:t xml:space="preserve"> Proto je potřebné zapojení do mezinárodní spolupráce v oblastec</w:t>
      </w:r>
      <w:r w:rsidR="00BA24EC">
        <w:rPr>
          <w:lang w:bidi="sd-Deva-IN"/>
        </w:rPr>
        <w:t>h výzkumu definovaných v SET Plá</w:t>
      </w:r>
      <w:r w:rsidRPr="00E21E21">
        <w:rPr>
          <w:lang w:bidi="sd-Deva-IN"/>
        </w:rPr>
        <w:t>nu (</w:t>
      </w:r>
      <w:proofErr w:type="spellStart"/>
      <w:r w:rsidRPr="00E21E21">
        <w:rPr>
          <w:lang w:bidi="sd-Deva-IN"/>
        </w:rPr>
        <w:t>European</w:t>
      </w:r>
      <w:proofErr w:type="spellEnd"/>
      <w:r w:rsidRPr="00E21E21">
        <w:rPr>
          <w:lang w:bidi="sd-Deva-IN"/>
        </w:rPr>
        <w:t xml:space="preserve"> </w:t>
      </w:r>
      <w:proofErr w:type="spellStart"/>
      <w:r w:rsidRPr="00E21E21">
        <w:rPr>
          <w:lang w:bidi="sd-Deva-IN"/>
        </w:rPr>
        <w:t>Strategic</w:t>
      </w:r>
      <w:proofErr w:type="spellEnd"/>
      <w:r w:rsidRPr="00E21E21">
        <w:rPr>
          <w:lang w:bidi="sd-Deva-IN"/>
        </w:rPr>
        <w:t xml:space="preserve"> </w:t>
      </w:r>
      <w:proofErr w:type="spellStart"/>
      <w:r w:rsidRPr="00E21E21">
        <w:rPr>
          <w:lang w:bidi="sd-Deva-IN"/>
        </w:rPr>
        <w:t>Energy</w:t>
      </w:r>
      <w:proofErr w:type="spellEnd"/>
      <w:r w:rsidRPr="00E21E21">
        <w:rPr>
          <w:lang w:bidi="sd-Deva-IN"/>
        </w:rPr>
        <w:t xml:space="preserve"> Technology </w:t>
      </w:r>
      <w:proofErr w:type="spellStart"/>
      <w:r w:rsidRPr="00E21E21">
        <w:rPr>
          <w:lang w:bidi="sd-Deva-IN"/>
        </w:rPr>
        <w:t>Plan</w:t>
      </w:r>
      <w:proofErr w:type="spellEnd"/>
      <w:r w:rsidRPr="00E21E21">
        <w:rPr>
          <w:lang w:bidi="sd-Deva-IN"/>
        </w:rPr>
        <w:t xml:space="preserve">) Evropské komise, zejména v rámcových programech </w:t>
      </w:r>
      <w:proofErr w:type="spellStart"/>
      <w:r w:rsidRPr="00E21E21">
        <w:rPr>
          <w:lang w:bidi="sd-Deva-IN"/>
        </w:rPr>
        <w:t>EURATOMu</w:t>
      </w:r>
      <w:proofErr w:type="spellEnd"/>
      <w:r w:rsidRPr="00E21E21">
        <w:rPr>
          <w:lang w:bidi="sd-Deva-IN"/>
        </w:rPr>
        <w:t xml:space="preserve">, a v rámci </w:t>
      </w:r>
      <w:r w:rsidRPr="00E21E21">
        <w:rPr>
          <w:rFonts w:cs="Times New Roman"/>
        </w:rPr>
        <w:t>technologické platformy</w:t>
      </w:r>
      <w:r w:rsidR="008E05E4" w:rsidRPr="008E05E4">
        <w:t xml:space="preserve"> </w:t>
      </w:r>
      <w:proofErr w:type="spellStart"/>
      <w:r w:rsidR="008E05E4" w:rsidRPr="008E05E4">
        <w:rPr>
          <w:rFonts w:cs="Times New Roman"/>
        </w:rPr>
        <w:t>Sustainable</w:t>
      </w:r>
      <w:proofErr w:type="spellEnd"/>
      <w:r w:rsidR="008E05E4" w:rsidRPr="008E05E4">
        <w:rPr>
          <w:rFonts w:cs="Times New Roman"/>
        </w:rPr>
        <w:t xml:space="preserve"> </w:t>
      </w:r>
      <w:proofErr w:type="spellStart"/>
      <w:r w:rsidR="008E05E4" w:rsidRPr="008E05E4">
        <w:rPr>
          <w:rFonts w:cs="Times New Roman"/>
        </w:rPr>
        <w:t>Nuclear</w:t>
      </w:r>
      <w:proofErr w:type="spellEnd"/>
      <w:r w:rsidR="008E05E4" w:rsidRPr="008E05E4">
        <w:rPr>
          <w:rFonts w:cs="Times New Roman"/>
        </w:rPr>
        <w:t xml:space="preserve"> </w:t>
      </w:r>
      <w:proofErr w:type="spellStart"/>
      <w:r w:rsidR="008E05E4" w:rsidRPr="008E05E4">
        <w:rPr>
          <w:rFonts w:cs="Times New Roman"/>
        </w:rPr>
        <w:t>Energy</w:t>
      </w:r>
      <w:proofErr w:type="spellEnd"/>
      <w:r w:rsidR="008E05E4" w:rsidRPr="008E05E4">
        <w:rPr>
          <w:rFonts w:cs="Times New Roman"/>
        </w:rPr>
        <w:t xml:space="preserve"> Technology </w:t>
      </w:r>
      <w:proofErr w:type="spellStart"/>
      <w:r w:rsidR="008E05E4" w:rsidRPr="008E05E4">
        <w:rPr>
          <w:rFonts w:cs="Times New Roman"/>
        </w:rPr>
        <w:t>Platform</w:t>
      </w:r>
      <w:proofErr w:type="spellEnd"/>
      <w:r w:rsidRPr="00E21E21">
        <w:rPr>
          <w:rFonts w:cs="Times New Roman"/>
        </w:rPr>
        <w:t xml:space="preserve"> </w:t>
      </w:r>
      <w:r w:rsidR="008E05E4">
        <w:rPr>
          <w:rFonts w:cs="Times New Roman"/>
        </w:rPr>
        <w:t>(</w:t>
      </w:r>
      <w:r w:rsidRPr="00E21E21">
        <w:rPr>
          <w:lang w:bidi="sd-Deva-IN"/>
        </w:rPr>
        <w:t>SNETP</w:t>
      </w:r>
      <w:r w:rsidR="008E05E4">
        <w:rPr>
          <w:lang w:bidi="sd-Deva-IN"/>
        </w:rPr>
        <w:t>)</w:t>
      </w:r>
      <w:r w:rsidRPr="00E21E21">
        <w:rPr>
          <w:lang w:bidi="sd-Deva-IN"/>
        </w:rPr>
        <w:t xml:space="preserve"> do NUGENIA. Dále je potřebná spolupráce a zapojení v rámci pracovních skupin NEA, MAAE a též je nutné využívat dvoustranné spolupráce v rámci Evropské unie i mimo ní.</w:t>
      </w:r>
    </w:p>
    <w:p w:rsidR="00E21E21" w:rsidRPr="00E21E21" w:rsidRDefault="00E21E21" w:rsidP="00467E27">
      <w:pPr>
        <w:jc w:val="both"/>
        <w:rPr>
          <w:rFonts w:cs="Times New Roman"/>
          <w:b/>
        </w:rPr>
      </w:pPr>
      <w:r w:rsidRPr="00E21E21">
        <w:rPr>
          <w:rFonts w:cs="Times New Roman"/>
          <w:b/>
        </w:rPr>
        <w:t>Efektivní dlouhodobé využití současných JE (</w:t>
      </w:r>
      <w:r w:rsidRPr="00E21E21">
        <w:rPr>
          <w:rFonts w:cs="Times New Roman"/>
          <w:bCs/>
          <w:i/>
        </w:rPr>
        <w:t>Prioritní dílčí cíl 1.2.1</w:t>
      </w:r>
      <w:r w:rsidRPr="00E21E21">
        <w:rPr>
          <w:rFonts w:cs="Times New Roman"/>
          <w:b/>
          <w:bCs/>
          <w:i/>
        </w:rPr>
        <w:t xml:space="preserve"> </w:t>
      </w:r>
      <w:r w:rsidRPr="00E21E21">
        <w:rPr>
          <w:rFonts w:cs="Times New Roman"/>
          <w:bCs/>
          <w:i/>
        </w:rPr>
        <w:t>prioritní oblasti Udržitelnost energetiky a materiálových zdrojů</w:t>
      </w:r>
      <w:r w:rsidRPr="00E21E21">
        <w:rPr>
          <w:rFonts w:cs="Times New Roman"/>
          <w:b/>
        </w:rPr>
        <w:t>)</w:t>
      </w:r>
    </w:p>
    <w:p w:rsidR="00E21E21" w:rsidRPr="00E21E21" w:rsidRDefault="00E21E21" w:rsidP="0044189F">
      <w:pPr>
        <w:pStyle w:val="Odstavecseseznamem"/>
        <w:numPr>
          <w:ilvl w:val="0"/>
          <w:numId w:val="51"/>
        </w:numPr>
        <w:spacing w:after="0"/>
        <w:jc w:val="both"/>
        <w:rPr>
          <w:rFonts w:cs="Times New Roman"/>
          <w:bCs/>
        </w:rPr>
      </w:pPr>
      <w:r w:rsidRPr="00E21E21">
        <w:rPr>
          <w:rFonts w:cs="Times New Roman"/>
          <w:bCs/>
        </w:rPr>
        <w:t>Zajištění spolehlivosti a dlouhodobého efektivního provozu stávajících jaderných zařízení</w:t>
      </w:r>
    </w:p>
    <w:p w:rsidR="00E21E21" w:rsidRPr="00E21E21" w:rsidRDefault="00E21E21" w:rsidP="0044189F">
      <w:pPr>
        <w:pStyle w:val="Odstavecseseznamem"/>
        <w:numPr>
          <w:ilvl w:val="0"/>
          <w:numId w:val="51"/>
        </w:numPr>
        <w:spacing w:after="0"/>
        <w:jc w:val="both"/>
        <w:rPr>
          <w:rFonts w:cs="Times New Roman"/>
          <w:bCs/>
        </w:rPr>
      </w:pPr>
      <w:r w:rsidRPr="00E21E21">
        <w:rPr>
          <w:rFonts w:cs="Times New Roman"/>
          <w:bCs/>
        </w:rPr>
        <w:t>Progresivní materiály a technologie pro jadernou energetiku</w:t>
      </w:r>
    </w:p>
    <w:p w:rsidR="004B10B9" w:rsidRDefault="00E21E21" w:rsidP="0044189F">
      <w:pPr>
        <w:pStyle w:val="Odstavecseseznamem"/>
        <w:numPr>
          <w:ilvl w:val="0"/>
          <w:numId w:val="51"/>
        </w:numPr>
        <w:ind w:left="714" w:hanging="357"/>
        <w:jc w:val="both"/>
        <w:rPr>
          <w:rFonts w:cs="Times New Roman"/>
          <w:bCs/>
        </w:rPr>
      </w:pPr>
      <w:r w:rsidRPr="00E21E21">
        <w:rPr>
          <w:rFonts w:cs="Times New Roman"/>
          <w:bCs/>
        </w:rPr>
        <w:t>Problematika vyřazování jaderných zařízení z</w:t>
      </w:r>
      <w:r w:rsidR="004B10B9">
        <w:rPr>
          <w:rFonts w:cs="Times New Roman"/>
          <w:bCs/>
        </w:rPr>
        <w:t> </w:t>
      </w:r>
      <w:r w:rsidRPr="00E21E21">
        <w:rPr>
          <w:rFonts w:cs="Times New Roman"/>
          <w:bCs/>
        </w:rPr>
        <w:t>provozu</w:t>
      </w:r>
    </w:p>
    <w:p w:rsidR="00E21E21" w:rsidRPr="00E21E21" w:rsidRDefault="00E21E21" w:rsidP="00467E27">
      <w:pPr>
        <w:jc w:val="both"/>
        <w:rPr>
          <w:rFonts w:cs="Times New Roman"/>
          <w:b/>
        </w:rPr>
      </w:pPr>
      <w:r w:rsidRPr="00E21E21">
        <w:rPr>
          <w:lang w:bidi="sd-Deva-IN"/>
        </w:rPr>
        <w:t>Výzkum a vývoj musí flexibilně reagovat na provozní zkušenosti. V co největší možné míře je potřebné zapojení do mezinárodní spolupráce, zejména průmyslových iniciativ připravovaných v rámci SET P</w:t>
      </w:r>
      <w:r w:rsidR="00BA24EC">
        <w:rPr>
          <w:lang w:bidi="sd-Deva-IN"/>
        </w:rPr>
        <w:t>lá</w:t>
      </w:r>
      <w:r w:rsidRPr="00E21E21">
        <w:rPr>
          <w:lang w:bidi="sd-Deva-IN"/>
        </w:rPr>
        <w:t xml:space="preserve">nu, v rámci </w:t>
      </w:r>
      <w:r w:rsidRPr="00E21E21">
        <w:rPr>
          <w:rFonts w:cs="Times New Roman"/>
        </w:rPr>
        <w:t xml:space="preserve">technologické platformy </w:t>
      </w:r>
      <w:r w:rsidRPr="00E21E21">
        <w:rPr>
          <w:lang w:bidi="sd-Deva-IN"/>
        </w:rPr>
        <w:t>SNETP zapojení do NUGENIA, spolupráce v</w:t>
      </w:r>
      <w:r w:rsidR="004B10B9">
        <w:rPr>
          <w:lang w:bidi="sd-Deva-IN"/>
        </w:rPr>
        <w:t> </w:t>
      </w:r>
      <w:r w:rsidRPr="00E21E21">
        <w:rPr>
          <w:lang w:bidi="sd-Deva-IN"/>
        </w:rPr>
        <w:t>rámci NEA a</w:t>
      </w:r>
      <w:r w:rsidR="00467E27">
        <w:rPr>
          <w:lang w:bidi="sd-Deva-IN"/>
        </w:rPr>
        <w:t> </w:t>
      </w:r>
      <w:r w:rsidRPr="00E21E21">
        <w:rPr>
          <w:lang w:bidi="sd-Deva-IN"/>
        </w:rPr>
        <w:t>využívání dvoustranných spoluprací v rámci Evropské unie i mimo ní.</w:t>
      </w:r>
      <w:r w:rsidRPr="00E21E21">
        <w:rPr>
          <w:rFonts w:cs="Times New Roman"/>
          <w:b/>
        </w:rPr>
        <w:t xml:space="preserve"> </w:t>
      </w:r>
    </w:p>
    <w:p w:rsidR="00E21E21" w:rsidRPr="00E21E21" w:rsidRDefault="00E21E21" w:rsidP="00467E27">
      <w:pPr>
        <w:jc w:val="both"/>
        <w:rPr>
          <w:rFonts w:cs="Times New Roman"/>
          <w:b/>
        </w:rPr>
      </w:pPr>
      <w:r w:rsidRPr="00E21E21">
        <w:rPr>
          <w:rFonts w:cs="Times New Roman"/>
          <w:b/>
        </w:rPr>
        <w:t>Výzkum zajišťující podporu výstavby a provozu nových ekonomicky efektivních bloků (</w:t>
      </w:r>
      <w:r w:rsidRPr="00E21E21">
        <w:rPr>
          <w:rFonts w:cs="Times New Roman"/>
          <w:bCs/>
          <w:i/>
        </w:rPr>
        <w:t>Prioritní dílčí cíl 1.2.3 prioritní oblasti Udržitelnost energetiky a materiálových zdrojů</w:t>
      </w:r>
      <w:r w:rsidRPr="00E21E21">
        <w:rPr>
          <w:rFonts w:cs="Times New Roman"/>
          <w:b/>
        </w:rPr>
        <w:t>)</w:t>
      </w:r>
    </w:p>
    <w:p w:rsidR="00E21E21" w:rsidRPr="00E21E21" w:rsidRDefault="00E21E21" w:rsidP="0044189F">
      <w:pPr>
        <w:pStyle w:val="Odstavecseseznamem"/>
        <w:numPr>
          <w:ilvl w:val="0"/>
          <w:numId w:val="52"/>
        </w:numPr>
        <w:spacing w:after="0"/>
        <w:jc w:val="both"/>
        <w:rPr>
          <w:rFonts w:cs="Times New Roman"/>
          <w:bCs/>
        </w:rPr>
      </w:pPr>
      <w:r w:rsidRPr="00E21E21">
        <w:rPr>
          <w:rFonts w:cs="Times New Roman"/>
          <w:bCs/>
        </w:rPr>
        <w:t>Výzkum, vývoj a inovace nových jaderných elektráren generace III/III+: standardizace designů, nové postupy při výstavbě, prvky pasivní bezpečnosti, vyšší spolehlivost, tvorba a přenos nového know-how.</w:t>
      </w:r>
    </w:p>
    <w:p w:rsidR="00E21E21" w:rsidRPr="00E21E21" w:rsidRDefault="00E21E21" w:rsidP="0044189F">
      <w:pPr>
        <w:pStyle w:val="Odstavecseseznamem"/>
        <w:numPr>
          <w:ilvl w:val="0"/>
          <w:numId w:val="52"/>
        </w:numPr>
        <w:ind w:left="714" w:hanging="357"/>
        <w:jc w:val="both"/>
        <w:rPr>
          <w:rFonts w:cs="Times New Roman"/>
          <w:bCs/>
        </w:rPr>
      </w:pPr>
      <w:r w:rsidRPr="00E21E21">
        <w:rPr>
          <w:rFonts w:cs="Times New Roman"/>
          <w:bCs/>
        </w:rPr>
        <w:t>Zajištění znalostí a dostatečných dat pro potřeby komplexních technickoekonomických hodnocení a řízení znalostí, nejenom z provozu jaderných elektráren, ale i z provozu experimentálních zařízení (výzkumné reaktory, experimentální smyčky, ozařovací kanály, autoklávy atd.).</w:t>
      </w:r>
    </w:p>
    <w:p w:rsidR="00E21E21" w:rsidRPr="00E21E21" w:rsidRDefault="00E21E21" w:rsidP="00851303">
      <w:pPr>
        <w:spacing w:after="0"/>
        <w:jc w:val="both"/>
        <w:rPr>
          <w:rFonts w:cs="Times New Roman"/>
          <w:b/>
        </w:rPr>
      </w:pPr>
      <w:r w:rsidRPr="00E21E21">
        <w:rPr>
          <w:rFonts w:cs="Times New Roman"/>
          <w:b/>
          <w:bCs/>
        </w:rPr>
        <w:lastRenderedPageBreak/>
        <w:t>Výzkum a vývoj palivového</w:t>
      </w:r>
      <w:r w:rsidRPr="00E21E21">
        <w:rPr>
          <w:rFonts w:cs="Times New Roman"/>
          <w:b/>
        </w:rPr>
        <w:t xml:space="preserve"> cyklu (</w:t>
      </w:r>
      <w:r w:rsidRPr="00E21E21">
        <w:rPr>
          <w:rFonts w:cs="Times New Roman"/>
          <w:bCs/>
          <w:i/>
        </w:rPr>
        <w:t>Prioritní dílčí cíl 1.2.4 prioritní oblasti Udržitelnost energetiky a</w:t>
      </w:r>
      <w:r w:rsidR="00851303">
        <w:rPr>
          <w:rFonts w:cs="Times New Roman"/>
          <w:bCs/>
          <w:i/>
        </w:rPr>
        <w:t> </w:t>
      </w:r>
      <w:r w:rsidRPr="00E21E21">
        <w:rPr>
          <w:rFonts w:cs="Times New Roman"/>
          <w:bCs/>
          <w:i/>
        </w:rPr>
        <w:t>materiálových zdrojů</w:t>
      </w:r>
      <w:r w:rsidR="00BA24EC">
        <w:rPr>
          <w:rFonts w:cs="Times New Roman"/>
          <w:b/>
        </w:rPr>
        <w:t>)</w:t>
      </w:r>
    </w:p>
    <w:p w:rsidR="00E21E21" w:rsidRPr="00E21E21" w:rsidRDefault="00E21E21" w:rsidP="0044189F">
      <w:pPr>
        <w:pStyle w:val="Odstavecseseznamem"/>
        <w:numPr>
          <w:ilvl w:val="0"/>
          <w:numId w:val="53"/>
        </w:numPr>
        <w:spacing w:after="0"/>
        <w:jc w:val="both"/>
        <w:rPr>
          <w:rFonts w:cs="Times New Roman"/>
          <w:bCs/>
        </w:rPr>
      </w:pPr>
      <w:r w:rsidRPr="00E21E21">
        <w:rPr>
          <w:rFonts w:cs="Times New Roman"/>
          <w:bCs/>
        </w:rPr>
        <w:t>Nástroje a metodiky pro optimalizaci a vyšší využití paliva</w:t>
      </w:r>
    </w:p>
    <w:p w:rsidR="00E21E21" w:rsidRDefault="00E21E21" w:rsidP="0044189F">
      <w:pPr>
        <w:pStyle w:val="Odstavecseseznamem"/>
        <w:numPr>
          <w:ilvl w:val="0"/>
          <w:numId w:val="53"/>
        </w:numPr>
        <w:spacing w:after="0"/>
        <w:jc w:val="both"/>
        <w:rPr>
          <w:rFonts w:cs="Times New Roman"/>
          <w:bCs/>
        </w:rPr>
      </w:pPr>
      <w:r w:rsidRPr="00E21E21">
        <w:rPr>
          <w:rFonts w:cs="Times New Roman"/>
          <w:bCs/>
        </w:rPr>
        <w:t>Progresivní metody nakládání s použitým jaderným palivem a s radioaktivními odpady</w:t>
      </w:r>
    </w:p>
    <w:p w:rsidR="00675581" w:rsidRPr="00E21E21" w:rsidRDefault="00675581" w:rsidP="00851303">
      <w:pPr>
        <w:pStyle w:val="Odstavecseseznamem"/>
        <w:numPr>
          <w:ilvl w:val="0"/>
          <w:numId w:val="53"/>
        </w:numPr>
        <w:spacing w:after="120"/>
        <w:ind w:left="714" w:hanging="357"/>
        <w:jc w:val="both"/>
        <w:rPr>
          <w:rFonts w:cs="Times New Roman"/>
          <w:bCs/>
        </w:rPr>
      </w:pPr>
      <w:r>
        <w:rPr>
          <w:rFonts w:cs="Times New Roman"/>
          <w:bCs/>
        </w:rPr>
        <w:t>Výzkum a vývoj v oblasti fabrikace a materiálový výzkum s tím související v případě výstavby fabrikačního závodu v ČR</w:t>
      </w:r>
    </w:p>
    <w:p w:rsidR="00E21E21" w:rsidRPr="00E21E21" w:rsidRDefault="00E21E21" w:rsidP="00467E27">
      <w:pPr>
        <w:jc w:val="both"/>
        <w:rPr>
          <w:rFonts w:cs="Times New Roman"/>
          <w:b/>
        </w:rPr>
      </w:pPr>
      <w:r w:rsidRPr="00E21E21">
        <w:rPr>
          <w:rFonts w:cs="Times New Roman"/>
          <w:b/>
        </w:rPr>
        <w:t>Výzkum a vývoj v oblasti reaktorů IV. generace (</w:t>
      </w:r>
      <w:r w:rsidRPr="00E21E21">
        <w:rPr>
          <w:rFonts w:cs="Times New Roman"/>
          <w:bCs/>
          <w:i/>
        </w:rPr>
        <w:t>Prioritní dílčí cíl 1.2.6 prioritní oblasti Udržitelnost energetiky a materiálových zdrojů</w:t>
      </w:r>
      <w:r w:rsidRPr="00E21E21">
        <w:rPr>
          <w:rFonts w:cs="Times New Roman"/>
          <w:b/>
        </w:rPr>
        <w:t>)</w:t>
      </w:r>
    </w:p>
    <w:p w:rsidR="00E21E21" w:rsidRPr="00E21E21" w:rsidRDefault="00E21E21" w:rsidP="00851303">
      <w:pPr>
        <w:spacing w:after="120"/>
        <w:jc w:val="both"/>
        <w:rPr>
          <w:lang w:bidi="sd-Deva-IN"/>
        </w:rPr>
      </w:pPr>
      <w:r w:rsidRPr="00E21E21">
        <w:rPr>
          <w:rFonts w:cs="Times New Roman"/>
        </w:rPr>
        <w:t>Cílem této oblasti je zapojení výzkumných organizací ČR do výzkumu a vývoje v oblasti IV. generace jaderných reaktorů (GFR - projekt ALLEGRO (prioritní projekt), LFR - projekt ALFRED, SCWR – projekt FQT, V/HTR) v rámci SET P</w:t>
      </w:r>
      <w:r w:rsidR="00BA24EC">
        <w:rPr>
          <w:rFonts w:cs="Times New Roman"/>
        </w:rPr>
        <w:t>lá</w:t>
      </w:r>
      <w:r w:rsidRPr="00E21E21">
        <w:rPr>
          <w:rFonts w:cs="Times New Roman"/>
        </w:rPr>
        <w:t>nu, technologické platformy SNETP a její Evropské průmyslové iniciativy (</w:t>
      </w:r>
      <w:proofErr w:type="spellStart"/>
      <w:r w:rsidRPr="00E21E21">
        <w:rPr>
          <w:rFonts w:cs="Times New Roman"/>
        </w:rPr>
        <w:t>European</w:t>
      </w:r>
      <w:proofErr w:type="spellEnd"/>
      <w:r w:rsidRPr="00E21E21">
        <w:rPr>
          <w:rFonts w:cs="Times New Roman"/>
        </w:rPr>
        <w:t xml:space="preserve"> </w:t>
      </w:r>
      <w:proofErr w:type="spellStart"/>
      <w:r w:rsidRPr="00E21E21">
        <w:rPr>
          <w:rFonts w:cs="Times New Roman"/>
        </w:rPr>
        <w:t>Sustainable</w:t>
      </w:r>
      <w:proofErr w:type="spellEnd"/>
      <w:r w:rsidRPr="00E21E21">
        <w:rPr>
          <w:rFonts w:cs="Times New Roman"/>
        </w:rPr>
        <w:t xml:space="preserve"> </w:t>
      </w:r>
      <w:proofErr w:type="spellStart"/>
      <w:r w:rsidRPr="00E21E21">
        <w:rPr>
          <w:rFonts w:cs="Times New Roman"/>
        </w:rPr>
        <w:t>Nuclear</w:t>
      </w:r>
      <w:proofErr w:type="spellEnd"/>
      <w:r w:rsidRPr="00E21E21">
        <w:rPr>
          <w:rFonts w:cs="Times New Roman"/>
        </w:rPr>
        <w:t xml:space="preserve"> </w:t>
      </w:r>
      <w:proofErr w:type="spellStart"/>
      <w:r w:rsidRPr="00E21E21">
        <w:rPr>
          <w:rFonts w:cs="Times New Roman"/>
        </w:rPr>
        <w:t>Industrial</w:t>
      </w:r>
      <w:proofErr w:type="spellEnd"/>
      <w:r w:rsidRPr="00E21E21">
        <w:rPr>
          <w:rFonts w:cs="Times New Roman"/>
        </w:rPr>
        <w:t xml:space="preserve"> </w:t>
      </w:r>
      <w:proofErr w:type="spellStart"/>
      <w:r w:rsidRPr="00E21E21">
        <w:rPr>
          <w:rFonts w:cs="Times New Roman"/>
        </w:rPr>
        <w:t>Initiative</w:t>
      </w:r>
      <w:proofErr w:type="spellEnd"/>
      <w:r w:rsidRPr="00E21E21">
        <w:rPr>
          <w:rFonts w:cs="Times New Roman"/>
        </w:rPr>
        <w:t xml:space="preserve"> - ESNII) a dále v rámci bilaterální i multilaterální spolupráce </w:t>
      </w:r>
      <w:r w:rsidR="000178E5">
        <w:rPr>
          <w:rFonts w:cs="Times New Roman"/>
        </w:rPr>
        <w:t xml:space="preserve">(např. </w:t>
      </w:r>
      <w:r w:rsidRPr="00E21E21">
        <w:rPr>
          <w:rFonts w:cs="Times New Roman"/>
        </w:rPr>
        <w:t xml:space="preserve">V4G4 Centre </w:t>
      </w:r>
      <w:proofErr w:type="spellStart"/>
      <w:r w:rsidRPr="00E21E21">
        <w:rPr>
          <w:rFonts w:cs="Times New Roman"/>
        </w:rPr>
        <w:t>of</w:t>
      </w:r>
      <w:proofErr w:type="spellEnd"/>
      <w:r w:rsidRPr="00E21E21">
        <w:rPr>
          <w:rFonts w:cs="Times New Roman"/>
        </w:rPr>
        <w:t xml:space="preserve"> Excellence) v Evropské</w:t>
      </w:r>
      <w:r w:rsidRPr="00E21E21">
        <w:rPr>
          <w:lang w:bidi="sd-Deva-IN"/>
        </w:rPr>
        <w:t xml:space="preserve"> uni</w:t>
      </w:r>
      <w:r w:rsidR="00BA24EC">
        <w:rPr>
          <w:lang w:bidi="sd-Deva-IN"/>
        </w:rPr>
        <w:t>i</w:t>
      </w:r>
      <w:r w:rsidRPr="00E21E21">
        <w:rPr>
          <w:lang w:bidi="sd-Deva-IN"/>
        </w:rPr>
        <w:t xml:space="preserve"> i mimo ní (GIF). Je žádoucí, aby se české výzkumné organizace i nadále významně podíleli  </w:t>
      </w:r>
      <w:r w:rsidR="00BA24EC">
        <w:rPr>
          <w:lang w:bidi="sd-Deva-IN"/>
        </w:rPr>
        <w:t xml:space="preserve">také </w:t>
      </w:r>
      <w:r w:rsidRPr="00E21E21">
        <w:rPr>
          <w:lang w:bidi="sd-Deva-IN"/>
        </w:rPr>
        <w:t>na organizaci prací</w:t>
      </w:r>
      <w:r w:rsidR="00BA24EC">
        <w:rPr>
          <w:lang w:bidi="sd-Deva-IN"/>
        </w:rPr>
        <w:t xml:space="preserve"> v rámci pracovních orgánů GIF.</w:t>
      </w:r>
    </w:p>
    <w:p w:rsidR="00E21E21" w:rsidRDefault="00E21E21" w:rsidP="00851303">
      <w:pPr>
        <w:spacing w:after="120"/>
        <w:jc w:val="both"/>
        <w:rPr>
          <w:rFonts w:cs="Times New Roman"/>
        </w:rPr>
      </w:pPr>
      <w:r w:rsidRPr="00E21E21">
        <w:rPr>
          <w:rFonts w:cs="Times New Roman"/>
        </w:rPr>
        <w:t>Vývoj pokročilých jaderných reaktorů IV. generace v rámci mezinárodní spolupráce usnadní dlouhodobé, efektivní a bezpečné využití jaderné energie po roce 2050 směřující k zajištění využití veškerého potenciálu jaderného paliva a snížení objemu radioaktivního odpadu z jaderných elektráren pro uložení do hlubinného úložiště.</w:t>
      </w:r>
    </w:p>
    <w:p w:rsidR="0043099A" w:rsidRDefault="0043099A" w:rsidP="0043099A">
      <w:pPr>
        <w:pStyle w:val="Nadpis3"/>
      </w:pPr>
      <w:bookmarkStart w:id="300" w:name="_Toc407035606"/>
      <w:bookmarkStart w:id="301" w:name="_Toc420056063"/>
      <w:r w:rsidRPr="00C56A7A">
        <w:t xml:space="preserve">Opatření pro oblast </w:t>
      </w:r>
      <w:r w:rsidR="00E74A5D">
        <w:t>vědy a výzkumu</w:t>
      </w:r>
      <w:bookmarkEnd w:id="300"/>
      <w:bookmarkEnd w:id="301"/>
    </w:p>
    <w:p w:rsidR="00E74A5D" w:rsidRPr="00CE4801" w:rsidRDefault="00E74A5D" w:rsidP="00582BB8">
      <w:pPr>
        <w:pStyle w:val="Odstavecseseznamem"/>
        <w:numPr>
          <w:ilvl w:val="0"/>
          <w:numId w:val="78"/>
        </w:numPr>
        <w:spacing w:after="0"/>
        <w:ind w:hanging="357"/>
        <w:jc w:val="both"/>
      </w:pPr>
      <w:r w:rsidRPr="00CE4801">
        <w:t>Připravit státní politiku výzkumu a vývoje pro oblast jaderné energetiky, případně jako segment pro oblast energetiky jako celku.</w:t>
      </w:r>
    </w:p>
    <w:p w:rsidR="00E74A5D" w:rsidRPr="00CE4801" w:rsidRDefault="00E74A5D" w:rsidP="00591E2F">
      <w:pPr>
        <w:pStyle w:val="Odstavecseseznamem"/>
        <w:numPr>
          <w:ilvl w:val="1"/>
          <w:numId w:val="78"/>
        </w:numPr>
        <w:spacing w:before="120" w:after="0"/>
        <w:ind w:hanging="357"/>
        <w:contextualSpacing w:val="0"/>
        <w:jc w:val="both"/>
      </w:pPr>
      <w:r w:rsidRPr="00E46668">
        <w:rPr>
          <w:u w:val="single"/>
        </w:rPr>
        <w:t>Zajistí:</w:t>
      </w:r>
      <w:r w:rsidRPr="00CE4801">
        <w:t xml:space="preserve"> MPO</w:t>
      </w:r>
    </w:p>
    <w:p w:rsidR="00E74A5D" w:rsidRPr="00CE4801" w:rsidRDefault="00E74A5D" w:rsidP="00E64D47">
      <w:pPr>
        <w:pStyle w:val="Odstavecseseznamem"/>
        <w:numPr>
          <w:ilvl w:val="1"/>
          <w:numId w:val="78"/>
        </w:numPr>
        <w:spacing w:after="120"/>
        <w:ind w:hanging="357"/>
        <w:contextualSpacing w:val="0"/>
        <w:jc w:val="both"/>
      </w:pPr>
      <w:r w:rsidRPr="00E46668">
        <w:rPr>
          <w:u w:val="single"/>
        </w:rPr>
        <w:t>Termín:</w:t>
      </w:r>
      <w:r w:rsidRPr="00CE4801">
        <w:t xml:space="preserve"> </w:t>
      </w:r>
      <w:r w:rsidR="00917A38" w:rsidRPr="00CE4801">
        <w:t>31. 12. 201</w:t>
      </w:r>
      <w:r w:rsidR="002E4520" w:rsidRPr="00CE4801">
        <w:t>6</w:t>
      </w:r>
    </w:p>
    <w:p w:rsidR="00E74A5D" w:rsidRPr="00CE4801" w:rsidRDefault="00E74A5D" w:rsidP="00582BB8">
      <w:pPr>
        <w:pStyle w:val="Odstavecseseznamem"/>
        <w:numPr>
          <w:ilvl w:val="0"/>
          <w:numId w:val="78"/>
        </w:numPr>
        <w:spacing w:after="0"/>
        <w:ind w:hanging="357"/>
        <w:jc w:val="both"/>
      </w:pPr>
      <w:r w:rsidRPr="00CE4801">
        <w:t>V návaznosti na politiku připravit nástroje strategického usměrňování veřejné podpory</w:t>
      </w:r>
      <w:r w:rsidR="00AF63EB">
        <w:t xml:space="preserve"> výzkumu, vývoje a inovací</w:t>
      </w:r>
      <w:r w:rsidRPr="00CE4801">
        <w:t xml:space="preserve"> </w:t>
      </w:r>
      <w:r w:rsidR="00AF63EB">
        <w:t>(</w:t>
      </w:r>
      <w:proofErr w:type="spellStart"/>
      <w:r w:rsidRPr="00CE4801">
        <w:t>VaVaI</w:t>
      </w:r>
      <w:proofErr w:type="spellEnd"/>
      <w:r w:rsidR="00AF63EB">
        <w:t>)</w:t>
      </w:r>
      <w:r w:rsidRPr="00CE4801">
        <w:t xml:space="preserve"> v oblasti jaderné energetiky.</w:t>
      </w:r>
    </w:p>
    <w:p w:rsidR="00E74A5D" w:rsidRPr="00CE4801" w:rsidRDefault="00E74A5D" w:rsidP="00591E2F">
      <w:pPr>
        <w:pStyle w:val="Odstavecseseznamem"/>
        <w:numPr>
          <w:ilvl w:val="1"/>
          <w:numId w:val="78"/>
        </w:numPr>
        <w:spacing w:before="120" w:after="0"/>
        <w:ind w:hanging="357"/>
        <w:contextualSpacing w:val="0"/>
        <w:jc w:val="both"/>
      </w:pPr>
      <w:r w:rsidRPr="00E46668">
        <w:rPr>
          <w:u w:val="single"/>
        </w:rPr>
        <w:t>Zajistí:</w:t>
      </w:r>
      <w:r w:rsidRPr="00CE4801">
        <w:t xml:space="preserve"> MPO</w:t>
      </w:r>
    </w:p>
    <w:p w:rsidR="00E74A5D" w:rsidRPr="00CE4801" w:rsidRDefault="00E74A5D" w:rsidP="00E64D47">
      <w:pPr>
        <w:pStyle w:val="Odstavecseseznamem"/>
        <w:numPr>
          <w:ilvl w:val="1"/>
          <w:numId w:val="78"/>
        </w:numPr>
        <w:spacing w:after="120"/>
        <w:ind w:hanging="357"/>
        <w:contextualSpacing w:val="0"/>
        <w:jc w:val="both"/>
      </w:pPr>
      <w:r w:rsidRPr="00E46668">
        <w:rPr>
          <w:u w:val="single"/>
        </w:rPr>
        <w:t>Termín:</w:t>
      </w:r>
      <w:r w:rsidRPr="00CE4801">
        <w:t xml:space="preserve"> </w:t>
      </w:r>
      <w:r w:rsidR="00917A38" w:rsidRPr="00CE4801">
        <w:t>31.</w:t>
      </w:r>
      <w:r w:rsidR="00CE4801">
        <w:t xml:space="preserve"> </w:t>
      </w:r>
      <w:r w:rsidR="00917A38" w:rsidRPr="00CE4801">
        <w:t>12.</w:t>
      </w:r>
      <w:r w:rsidR="00CE4801">
        <w:t xml:space="preserve"> </w:t>
      </w:r>
      <w:r w:rsidR="002E4520" w:rsidRPr="00CE4801">
        <w:t>2017</w:t>
      </w:r>
    </w:p>
    <w:p w:rsidR="00E74A5D" w:rsidRPr="00CE4801" w:rsidRDefault="00E74A5D" w:rsidP="00582BB8">
      <w:pPr>
        <w:pStyle w:val="Odstavecseseznamem"/>
        <w:numPr>
          <w:ilvl w:val="0"/>
          <w:numId w:val="78"/>
        </w:numPr>
        <w:spacing w:after="0"/>
        <w:ind w:hanging="357"/>
        <w:jc w:val="both"/>
      </w:pPr>
      <w:r w:rsidRPr="00CE4801">
        <w:t>Zajistit naplnění výzkumné podpory nově budované role státu v oblasti jaderné energetiky.</w:t>
      </w:r>
    </w:p>
    <w:p w:rsidR="00E74A5D" w:rsidRPr="00CE4801" w:rsidRDefault="00E74A5D" w:rsidP="00591E2F">
      <w:pPr>
        <w:pStyle w:val="Odstavecseseznamem"/>
        <w:numPr>
          <w:ilvl w:val="1"/>
          <w:numId w:val="78"/>
        </w:numPr>
        <w:spacing w:before="120" w:after="0"/>
        <w:ind w:hanging="357"/>
        <w:contextualSpacing w:val="0"/>
        <w:jc w:val="both"/>
      </w:pPr>
      <w:r w:rsidRPr="00E46668">
        <w:rPr>
          <w:u w:val="single"/>
        </w:rPr>
        <w:t>Zajistí:</w:t>
      </w:r>
      <w:r w:rsidRPr="00CE4801">
        <w:t xml:space="preserve"> MPO</w:t>
      </w:r>
    </w:p>
    <w:p w:rsidR="00E74A5D" w:rsidRPr="00CE4801" w:rsidRDefault="00E74A5D" w:rsidP="00E64D47">
      <w:pPr>
        <w:pStyle w:val="Odstavecseseznamem"/>
        <w:numPr>
          <w:ilvl w:val="1"/>
          <w:numId w:val="78"/>
        </w:numPr>
        <w:spacing w:after="120"/>
        <w:ind w:hanging="357"/>
        <w:contextualSpacing w:val="0"/>
        <w:jc w:val="both"/>
      </w:pPr>
      <w:r w:rsidRPr="00E46668">
        <w:rPr>
          <w:u w:val="single"/>
        </w:rPr>
        <w:t>Termín:</w:t>
      </w:r>
      <w:r w:rsidRPr="00CE4801">
        <w:t xml:space="preserve"> </w:t>
      </w:r>
      <w:r w:rsidR="002E4520" w:rsidRPr="00CE4801">
        <w:t>průběžně</w:t>
      </w:r>
    </w:p>
    <w:p w:rsidR="00E74A5D" w:rsidRPr="00CE4801" w:rsidRDefault="00E74A5D" w:rsidP="00582BB8">
      <w:pPr>
        <w:pStyle w:val="Odstavecseseznamem"/>
        <w:numPr>
          <w:ilvl w:val="0"/>
          <w:numId w:val="78"/>
        </w:numPr>
        <w:spacing w:after="0"/>
        <w:ind w:hanging="357"/>
        <w:jc w:val="both"/>
      </w:pPr>
      <w:r w:rsidRPr="00CE4801">
        <w:t>Připravit podklad pro strategické partnerství v oblasti podpory revitalizace dodavatelského průmyslu, participace průmyslu a výzkumu na demonstraci rychlého reaktoru a spolupráce v oblasti uzavření palivového cyklu.</w:t>
      </w:r>
    </w:p>
    <w:p w:rsidR="00E74A5D" w:rsidRPr="00CE4801" w:rsidRDefault="00E74A5D" w:rsidP="00591E2F">
      <w:pPr>
        <w:pStyle w:val="Odstavecseseznamem"/>
        <w:numPr>
          <w:ilvl w:val="1"/>
          <w:numId w:val="78"/>
        </w:numPr>
        <w:spacing w:before="120" w:after="0"/>
        <w:ind w:hanging="357"/>
        <w:contextualSpacing w:val="0"/>
        <w:jc w:val="both"/>
      </w:pPr>
      <w:r w:rsidRPr="00E46668">
        <w:rPr>
          <w:u w:val="single"/>
        </w:rPr>
        <w:t>Zajistí:</w:t>
      </w:r>
      <w:r w:rsidRPr="00CE4801">
        <w:t xml:space="preserve"> MPO</w:t>
      </w:r>
    </w:p>
    <w:p w:rsidR="00E74A5D" w:rsidRPr="00CE4801" w:rsidRDefault="00E74A5D" w:rsidP="00E64D47">
      <w:pPr>
        <w:pStyle w:val="Odstavecseseznamem"/>
        <w:numPr>
          <w:ilvl w:val="1"/>
          <w:numId w:val="78"/>
        </w:numPr>
        <w:spacing w:after="120"/>
        <w:ind w:hanging="357"/>
        <w:contextualSpacing w:val="0"/>
        <w:jc w:val="both"/>
      </w:pPr>
      <w:r w:rsidRPr="00E46668">
        <w:rPr>
          <w:u w:val="single"/>
        </w:rPr>
        <w:t>Termín:</w:t>
      </w:r>
      <w:r w:rsidR="002E4520" w:rsidRPr="00CE4801">
        <w:t xml:space="preserve"> 31. 12. 2016</w:t>
      </w:r>
    </w:p>
    <w:p w:rsidR="00E74A5D" w:rsidRPr="00CE4801" w:rsidRDefault="00E74A5D" w:rsidP="00582BB8">
      <w:pPr>
        <w:pStyle w:val="Odstavecseseznamem"/>
        <w:numPr>
          <w:ilvl w:val="0"/>
          <w:numId w:val="78"/>
        </w:numPr>
        <w:spacing w:after="0"/>
        <w:ind w:hanging="357"/>
        <w:jc w:val="both"/>
      </w:pPr>
      <w:r w:rsidRPr="00CE4801">
        <w:t xml:space="preserve">Posílit zapojení do mezinárodní spolupráce v oblasti </w:t>
      </w:r>
      <w:proofErr w:type="spellStart"/>
      <w:r w:rsidRPr="00CE4801">
        <w:t>VaVaI</w:t>
      </w:r>
      <w:proofErr w:type="spellEnd"/>
      <w:r w:rsidRPr="00CE4801">
        <w:t xml:space="preserve"> a způsobu jeho financování.</w:t>
      </w:r>
    </w:p>
    <w:p w:rsidR="00E74A5D" w:rsidRPr="00CE4801" w:rsidRDefault="00E74A5D" w:rsidP="00591E2F">
      <w:pPr>
        <w:pStyle w:val="Odstavecseseznamem"/>
        <w:numPr>
          <w:ilvl w:val="1"/>
          <w:numId w:val="78"/>
        </w:numPr>
        <w:spacing w:before="120" w:after="0"/>
        <w:ind w:hanging="357"/>
        <w:contextualSpacing w:val="0"/>
        <w:jc w:val="both"/>
      </w:pPr>
      <w:r w:rsidRPr="00E46668">
        <w:rPr>
          <w:u w:val="single"/>
        </w:rPr>
        <w:t>Zajistí:</w:t>
      </w:r>
      <w:r w:rsidRPr="00CE4801">
        <w:t xml:space="preserve"> </w:t>
      </w:r>
      <w:r w:rsidR="008E5E2B">
        <w:t>MŠMT</w:t>
      </w:r>
    </w:p>
    <w:p w:rsidR="00E74A5D" w:rsidRPr="00CE4801" w:rsidRDefault="00E74A5D" w:rsidP="00E64D47">
      <w:pPr>
        <w:pStyle w:val="Odstavecseseznamem"/>
        <w:numPr>
          <w:ilvl w:val="1"/>
          <w:numId w:val="78"/>
        </w:numPr>
        <w:spacing w:after="120"/>
        <w:ind w:hanging="357"/>
        <w:contextualSpacing w:val="0"/>
        <w:jc w:val="both"/>
      </w:pPr>
      <w:r w:rsidRPr="00E46668">
        <w:rPr>
          <w:u w:val="single"/>
        </w:rPr>
        <w:t>Termín:</w:t>
      </w:r>
      <w:r w:rsidR="002E4520" w:rsidRPr="00CE4801">
        <w:t xml:space="preserve"> průběžně</w:t>
      </w:r>
    </w:p>
    <w:p w:rsidR="003E00F9" w:rsidRDefault="000C2BE4" w:rsidP="002E4520">
      <w:pPr>
        <w:pStyle w:val="Nadpis1"/>
      </w:pPr>
      <w:bookmarkStart w:id="302" w:name="_Toc407035622"/>
      <w:bookmarkStart w:id="303" w:name="_Toc420056064"/>
      <w:r>
        <w:lastRenderedPageBreak/>
        <w:t>Klíčové úkoly pro nejbližší období (pro rok 2015)</w:t>
      </w:r>
      <w:bookmarkEnd w:id="302"/>
      <w:bookmarkEnd w:id="303"/>
    </w:p>
    <w:p w:rsidR="00A9339D" w:rsidRPr="00A9339D" w:rsidRDefault="00A9339D" w:rsidP="00A9339D">
      <w:pPr>
        <w:pStyle w:val="Titulek"/>
        <w:keepNext/>
        <w:rPr>
          <w:color w:val="auto"/>
          <w:sz w:val="22"/>
        </w:rPr>
      </w:pPr>
      <w:bookmarkStart w:id="304" w:name="_Toc420058329"/>
      <w:r w:rsidRPr="00A9339D">
        <w:rPr>
          <w:color w:val="auto"/>
          <w:sz w:val="22"/>
        </w:rPr>
        <w:t xml:space="preserve">Tabulka č. </w:t>
      </w:r>
      <w:r w:rsidRPr="00A9339D">
        <w:rPr>
          <w:color w:val="auto"/>
          <w:sz w:val="22"/>
        </w:rPr>
        <w:fldChar w:fldCharType="begin"/>
      </w:r>
      <w:r w:rsidRPr="00A9339D">
        <w:rPr>
          <w:color w:val="auto"/>
          <w:sz w:val="22"/>
        </w:rPr>
        <w:instrText xml:space="preserve"> SEQ Tabulka_č. \* ARABIC </w:instrText>
      </w:r>
      <w:r w:rsidRPr="00A9339D">
        <w:rPr>
          <w:color w:val="auto"/>
          <w:sz w:val="22"/>
        </w:rPr>
        <w:fldChar w:fldCharType="separate"/>
      </w:r>
      <w:r w:rsidR="00FE1E1A">
        <w:rPr>
          <w:noProof/>
          <w:color w:val="auto"/>
          <w:sz w:val="22"/>
        </w:rPr>
        <w:t>25</w:t>
      </w:r>
      <w:r w:rsidRPr="00A9339D">
        <w:rPr>
          <w:color w:val="auto"/>
          <w:sz w:val="22"/>
        </w:rPr>
        <w:fldChar w:fldCharType="end"/>
      </w:r>
      <w:r w:rsidRPr="00A9339D">
        <w:rPr>
          <w:noProof/>
          <w:color w:val="auto"/>
          <w:sz w:val="22"/>
        </w:rPr>
        <w:t xml:space="preserve">: </w:t>
      </w:r>
      <w:r w:rsidRPr="00A9339D">
        <w:rPr>
          <w:b w:val="0"/>
          <w:i/>
          <w:noProof/>
          <w:color w:val="auto"/>
          <w:sz w:val="22"/>
        </w:rPr>
        <w:t>Klíčové úkoly pro nejbližší období (pro rok 2015) - 1. část</w:t>
      </w:r>
      <w:bookmarkEnd w:id="304"/>
    </w:p>
    <w:tbl>
      <w:tblPr>
        <w:tblW w:w="0" w:type="auto"/>
        <w:tblCellMar>
          <w:left w:w="0" w:type="dxa"/>
          <w:right w:w="0" w:type="dxa"/>
        </w:tblCellMar>
        <w:tblLook w:val="04A0" w:firstRow="1" w:lastRow="0" w:firstColumn="1" w:lastColumn="0" w:noHBand="0" w:noVBand="1"/>
      </w:tblPr>
      <w:tblGrid>
        <w:gridCol w:w="959"/>
        <w:gridCol w:w="5607"/>
        <w:gridCol w:w="1415"/>
        <w:gridCol w:w="1307"/>
      </w:tblGrid>
      <w:tr w:rsidR="000C2BE4" w:rsidTr="004B10B9">
        <w:tc>
          <w:tcPr>
            <w:tcW w:w="959" w:type="dxa"/>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0C2BE4" w:rsidRPr="00CB3224" w:rsidRDefault="000C2BE4" w:rsidP="007C1F8E">
            <w:pPr>
              <w:spacing w:before="120" w:after="120"/>
              <w:jc w:val="center"/>
              <w:rPr>
                <w:rFonts w:ascii="Calibri" w:hAnsi="Calibri" w:cs="Calibri"/>
                <w:b/>
              </w:rPr>
            </w:pPr>
            <w:r w:rsidRPr="00CB3224">
              <w:rPr>
                <w:b/>
              </w:rPr>
              <w:t>Úkol č.</w:t>
            </w:r>
          </w:p>
        </w:tc>
        <w:tc>
          <w:tcPr>
            <w:tcW w:w="5607" w:type="dxa"/>
            <w:tcBorders>
              <w:top w:val="single" w:sz="12" w:space="0" w:color="auto"/>
              <w:left w:val="single" w:sz="8"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0C2BE4" w:rsidRPr="00CB3224" w:rsidRDefault="000C2BE4" w:rsidP="007C1F8E">
            <w:pPr>
              <w:spacing w:before="120" w:after="120"/>
              <w:jc w:val="center"/>
              <w:rPr>
                <w:rFonts w:ascii="Calibri" w:hAnsi="Calibri" w:cs="Calibri"/>
                <w:b/>
              </w:rPr>
            </w:pPr>
            <w:r w:rsidRPr="00CB3224">
              <w:rPr>
                <w:b/>
              </w:rPr>
              <w:t>Specifikace úkolu</w:t>
            </w:r>
          </w:p>
        </w:tc>
        <w:tc>
          <w:tcPr>
            <w:tcW w:w="1415" w:type="dxa"/>
            <w:tcBorders>
              <w:top w:val="single" w:sz="12" w:space="0" w:color="auto"/>
              <w:left w:val="single" w:sz="8"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0C2BE4" w:rsidRPr="00CB3224" w:rsidRDefault="000C2BE4" w:rsidP="007C1F8E">
            <w:pPr>
              <w:spacing w:before="120" w:after="120"/>
              <w:jc w:val="center"/>
              <w:rPr>
                <w:rFonts w:ascii="Calibri" w:hAnsi="Calibri" w:cs="Calibri"/>
                <w:b/>
              </w:rPr>
            </w:pPr>
            <w:r w:rsidRPr="00CB3224">
              <w:rPr>
                <w:b/>
              </w:rPr>
              <w:t>Zo</w:t>
            </w:r>
            <w:r w:rsidRPr="00CB3224">
              <w:rPr>
                <w:b/>
                <w:shd w:val="clear" w:color="auto" w:fill="B8CCE4" w:themeFill="accent1" w:themeFillTint="66"/>
              </w:rPr>
              <w:t>dpovídá / spolupracuj</w:t>
            </w:r>
            <w:r w:rsidRPr="00CB3224">
              <w:rPr>
                <w:b/>
              </w:rPr>
              <w:t>e</w:t>
            </w:r>
          </w:p>
        </w:tc>
        <w:tc>
          <w:tcPr>
            <w:tcW w:w="1307" w:type="dxa"/>
            <w:tcBorders>
              <w:top w:val="single" w:sz="12" w:space="0" w:color="auto"/>
              <w:left w:val="single" w:sz="8" w:space="0" w:color="auto"/>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hideMark/>
          </w:tcPr>
          <w:p w:rsidR="000C2BE4" w:rsidRPr="00CB3224" w:rsidRDefault="000C2BE4" w:rsidP="007C1F8E">
            <w:pPr>
              <w:spacing w:before="120" w:after="120"/>
              <w:jc w:val="center"/>
              <w:rPr>
                <w:rFonts w:ascii="Calibri" w:hAnsi="Calibri" w:cs="Calibri"/>
                <w:b/>
              </w:rPr>
            </w:pPr>
            <w:r w:rsidRPr="00CB3224">
              <w:rPr>
                <w:b/>
              </w:rPr>
              <w:t>Termín</w:t>
            </w:r>
          </w:p>
        </w:tc>
      </w:tr>
      <w:tr w:rsidR="000C2BE4" w:rsidTr="00C159C6">
        <w:tc>
          <w:tcPr>
            <w:tcW w:w="959" w:type="dxa"/>
            <w:tcBorders>
              <w:top w:val="single" w:sz="12" w:space="0" w:color="auto"/>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C159C6">
            <w:pPr>
              <w:spacing w:after="0"/>
              <w:jc w:val="center"/>
              <w:rPr>
                <w:rFonts w:ascii="Calibri" w:hAnsi="Calibri" w:cs="Calibri"/>
              </w:rPr>
            </w:pPr>
            <w:r w:rsidRPr="0004790B">
              <w:t>1</w:t>
            </w:r>
          </w:p>
        </w:tc>
        <w:tc>
          <w:tcPr>
            <w:tcW w:w="5607" w:type="dxa"/>
            <w:tcBorders>
              <w:top w:val="single" w:sz="12" w:space="0" w:color="auto"/>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CF2AAF">
            <w:pPr>
              <w:spacing w:after="0"/>
              <w:rPr>
                <w:rFonts w:ascii="Calibri" w:hAnsi="Calibri" w:cs="Calibri"/>
              </w:rPr>
            </w:pPr>
            <w:r w:rsidRPr="0004790B">
              <w:t xml:space="preserve">Ustavit a jmenovat stálý výbor pro jadernou energetiku </w:t>
            </w:r>
          </w:p>
        </w:tc>
        <w:tc>
          <w:tcPr>
            <w:tcW w:w="1415" w:type="dxa"/>
            <w:tcBorders>
              <w:top w:val="single" w:sz="12" w:space="0" w:color="auto"/>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MPO, MF</w:t>
            </w:r>
          </w:p>
        </w:tc>
        <w:tc>
          <w:tcPr>
            <w:tcW w:w="1307" w:type="dxa"/>
            <w:tcBorders>
              <w:top w:val="single" w:sz="12" w:space="0" w:color="auto"/>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0C2BE4" w:rsidRPr="0004790B" w:rsidRDefault="000C2BE4" w:rsidP="005D04F6">
            <w:pPr>
              <w:spacing w:after="0"/>
              <w:jc w:val="center"/>
              <w:rPr>
                <w:rFonts w:ascii="Calibri" w:hAnsi="Calibri" w:cs="Calibri"/>
              </w:rPr>
            </w:pPr>
            <w:r w:rsidRPr="0004790B">
              <w:t>0</w:t>
            </w:r>
            <w:r w:rsidR="005D04F6">
              <w:t>9</w:t>
            </w:r>
            <w:r w:rsidRPr="0004790B">
              <w:t>/2015</w:t>
            </w:r>
          </w:p>
        </w:tc>
      </w:tr>
      <w:tr w:rsidR="000C2BE4" w:rsidTr="00C159C6">
        <w:tc>
          <w:tcPr>
            <w:tcW w:w="959"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C159C6">
            <w:pPr>
              <w:spacing w:after="0"/>
              <w:jc w:val="center"/>
              <w:rPr>
                <w:rFonts w:ascii="Calibri" w:hAnsi="Calibri" w:cs="Calibri"/>
              </w:rPr>
            </w:pPr>
            <w:r w:rsidRPr="0004790B">
              <w:t>2</w:t>
            </w:r>
          </w:p>
        </w:tc>
        <w:tc>
          <w:tcPr>
            <w:tcW w:w="5607"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A9339D">
            <w:pPr>
              <w:spacing w:after="0"/>
              <w:rPr>
                <w:rFonts w:ascii="Calibri" w:hAnsi="Calibri" w:cs="Calibri"/>
              </w:rPr>
            </w:pPr>
            <w:r w:rsidRPr="0004790B">
              <w:t>Ustavit a jmenovat vládního zmocněnce pro jadernou energetiku</w:t>
            </w:r>
          </w:p>
        </w:tc>
        <w:tc>
          <w:tcPr>
            <w:tcW w:w="1415"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Předseda vlády / MPO, MF</w:t>
            </w:r>
          </w:p>
        </w:tc>
        <w:tc>
          <w:tcPr>
            <w:tcW w:w="1307"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0</w:t>
            </w:r>
            <w:r w:rsidR="005D04F6">
              <w:t>9</w:t>
            </w:r>
            <w:r w:rsidRPr="0004790B">
              <w:t>/2015</w:t>
            </w:r>
          </w:p>
        </w:tc>
      </w:tr>
      <w:tr w:rsidR="000C2BE4" w:rsidTr="00C159C6">
        <w:tc>
          <w:tcPr>
            <w:tcW w:w="959"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C159C6">
            <w:pPr>
              <w:spacing w:after="0"/>
              <w:jc w:val="center"/>
              <w:rPr>
                <w:rFonts w:ascii="Calibri" w:hAnsi="Calibri" w:cs="Calibri"/>
              </w:rPr>
            </w:pPr>
            <w:r w:rsidRPr="0004790B">
              <w:t>3</w:t>
            </w:r>
          </w:p>
        </w:tc>
        <w:tc>
          <w:tcPr>
            <w:tcW w:w="5607"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0C2BE4" w:rsidRPr="0004790B" w:rsidRDefault="000C2BE4" w:rsidP="00A9339D">
            <w:pPr>
              <w:spacing w:after="0"/>
              <w:rPr>
                <w:rFonts w:ascii="Calibri" w:hAnsi="Calibri" w:cs="Calibri"/>
              </w:rPr>
            </w:pPr>
            <w:r w:rsidRPr="0004790B">
              <w:t>Uskutečnit 1 kolo rozhovorů se všemi potenciálními EPC dodavateli s cílem:</w:t>
            </w:r>
          </w:p>
          <w:p w:rsidR="000C2BE4" w:rsidRPr="0004790B" w:rsidRDefault="000C2BE4" w:rsidP="0044189F">
            <w:pPr>
              <w:pStyle w:val="Odstavecseseznamem"/>
              <w:numPr>
                <w:ilvl w:val="0"/>
                <w:numId w:val="82"/>
              </w:numPr>
              <w:spacing w:after="0"/>
            </w:pPr>
            <w:r w:rsidRPr="0004790B">
              <w:t xml:space="preserve">Ověřit jejich zájem účastnit se výběrového řízení na dodávku NJZ </w:t>
            </w:r>
          </w:p>
          <w:p w:rsidR="000C2BE4" w:rsidRPr="0004790B" w:rsidRDefault="000C2BE4" w:rsidP="0044189F">
            <w:pPr>
              <w:pStyle w:val="Odstavecseseznamem"/>
              <w:numPr>
                <w:ilvl w:val="0"/>
                <w:numId w:val="82"/>
              </w:numPr>
              <w:spacing w:after="0"/>
            </w:pPr>
            <w:r w:rsidRPr="0004790B">
              <w:t>Ověřit možnost a rozsah jejich kapitálové účasti na výstavbě NJZ (podíl na SPV)</w:t>
            </w:r>
          </w:p>
          <w:p w:rsidR="000C2BE4" w:rsidRPr="0004790B" w:rsidRDefault="000C2BE4" w:rsidP="0044189F">
            <w:pPr>
              <w:pStyle w:val="Odstavecseseznamem"/>
              <w:numPr>
                <w:ilvl w:val="0"/>
                <w:numId w:val="82"/>
              </w:numPr>
              <w:spacing w:after="0"/>
            </w:pPr>
            <w:r w:rsidRPr="0004790B">
              <w:t xml:space="preserve">Identifikovat rozsah možných podmínek pro kapitálovou účast na výstavbě NJZ (požadavky na garance, omezení doby vlastnictví podílu SPV atd.) </w:t>
            </w:r>
          </w:p>
          <w:p w:rsidR="000C2BE4" w:rsidRPr="0004790B" w:rsidRDefault="000C2BE4" w:rsidP="0044189F">
            <w:pPr>
              <w:pStyle w:val="Odstavecseseznamem"/>
              <w:numPr>
                <w:ilvl w:val="0"/>
                <w:numId w:val="82"/>
              </w:numPr>
              <w:spacing w:after="0"/>
            </w:pPr>
            <w:r w:rsidRPr="0004790B">
              <w:t>Identifikovat možné formy a rozsah zajištění financování výstavby NJZ</w:t>
            </w:r>
          </w:p>
          <w:p w:rsidR="000C2BE4" w:rsidRPr="0004790B" w:rsidRDefault="000C2BE4" w:rsidP="0044189F">
            <w:pPr>
              <w:pStyle w:val="Odstavecseseznamem"/>
              <w:numPr>
                <w:ilvl w:val="0"/>
                <w:numId w:val="82"/>
              </w:numPr>
              <w:spacing w:after="0"/>
            </w:pPr>
            <w:r w:rsidRPr="0004790B">
              <w:t>Ověřit jejich možnosti a možné dopady při současné přípravě až dvou bloků na dvou projektech, ale realizace i jen 1 bloku.</w:t>
            </w:r>
          </w:p>
        </w:tc>
        <w:tc>
          <w:tcPr>
            <w:tcW w:w="1415"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MPO</w:t>
            </w:r>
          </w:p>
        </w:tc>
        <w:tc>
          <w:tcPr>
            <w:tcW w:w="1307"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0</w:t>
            </w:r>
            <w:r w:rsidR="002E4520" w:rsidRPr="0004790B">
              <w:t>6</w:t>
            </w:r>
            <w:r w:rsidR="005D04F6">
              <w:t>/2016</w:t>
            </w:r>
          </w:p>
        </w:tc>
      </w:tr>
      <w:tr w:rsidR="000C2BE4" w:rsidTr="00C159C6">
        <w:tc>
          <w:tcPr>
            <w:tcW w:w="959" w:type="dxa"/>
            <w:tcBorders>
              <w:top w:val="dotted" w:sz="4" w:space="0" w:color="808080" w:themeColor="background1" w:themeShade="80"/>
              <w:left w:val="single" w:sz="12" w:space="0" w:color="auto"/>
              <w:bottom w:val="thinThickSmallGap" w:sz="24" w:space="0" w:color="auto"/>
              <w:right w:val="single" w:sz="8" w:space="0" w:color="auto"/>
            </w:tcBorders>
            <w:tcMar>
              <w:top w:w="0" w:type="dxa"/>
              <w:left w:w="108" w:type="dxa"/>
              <w:bottom w:w="0" w:type="dxa"/>
              <w:right w:w="108" w:type="dxa"/>
            </w:tcMar>
            <w:hideMark/>
          </w:tcPr>
          <w:p w:rsidR="000C2BE4" w:rsidRPr="0004790B" w:rsidRDefault="000C2BE4" w:rsidP="00C159C6">
            <w:pPr>
              <w:spacing w:after="0"/>
              <w:jc w:val="center"/>
              <w:rPr>
                <w:rFonts w:ascii="Calibri" w:hAnsi="Calibri" w:cs="Calibri"/>
              </w:rPr>
            </w:pPr>
            <w:r w:rsidRPr="0004790B">
              <w:t>4</w:t>
            </w:r>
          </w:p>
        </w:tc>
        <w:tc>
          <w:tcPr>
            <w:tcW w:w="5607" w:type="dxa"/>
            <w:tcBorders>
              <w:top w:val="dotted" w:sz="4" w:space="0" w:color="808080" w:themeColor="background1" w:themeShade="80"/>
              <w:left w:val="single" w:sz="8" w:space="0" w:color="auto"/>
              <w:bottom w:val="thinThickSmallGap" w:sz="24" w:space="0" w:color="auto"/>
              <w:right w:val="single" w:sz="8" w:space="0" w:color="auto"/>
            </w:tcBorders>
            <w:tcMar>
              <w:top w:w="0" w:type="dxa"/>
              <w:left w:w="108" w:type="dxa"/>
              <w:bottom w:w="0" w:type="dxa"/>
              <w:right w:w="108" w:type="dxa"/>
            </w:tcMar>
            <w:hideMark/>
          </w:tcPr>
          <w:p w:rsidR="00911702" w:rsidRPr="002E4520" w:rsidRDefault="00911702" w:rsidP="00911702">
            <w:pPr>
              <w:pStyle w:val="Odstavecseseznamem"/>
              <w:numPr>
                <w:ilvl w:val="0"/>
                <w:numId w:val="83"/>
              </w:numPr>
              <w:jc w:val="both"/>
              <w:rPr>
                <w:rFonts w:cs="Arial"/>
              </w:rPr>
            </w:pPr>
            <w:r>
              <w:rPr>
                <w:rFonts w:cs="Arial"/>
              </w:rPr>
              <w:t>Projednat se společností ČEZ, a.s. z pozice vykonavatele vlastnických práv realizaci dokumentu NAP JE v oblasti výstavby NJZ, a to s ohledem na preferovanou variantu z pohledu státu.</w:t>
            </w:r>
          </w:p>
          <w:p w:rsidR="000C2BE4" w:rsidRPr="0004790B" w:rsidRDefault="000C2BE4" w:rsidP="00EA0E7A">
            <w:pPr>
              <w:pStyle w:val="Odstavecseseznamem"/>
              <w:spacing w:after="0"/>
            </w:pPr>
          </w:p>
        </w:tc>
        <w:tc>
          <w:tcPr>
            <w:tcW w:w="1415" w:type="dxa"/>
            <w:tcBorders>
              <w:top w:val="dotted" w:sz="4" w:space="0" w:color="808080" w:themeColor="background1" w:themeShade="80"/>
              <w:left w:val="single" w:sz="8" w:space="0" w:color="auto"/>
              <w:bottom w:val="thinThickSmallGap" w:sz="24" w:space="0" w:color="auto"/>
              <w:right w:val="single" w:sz="8"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MF</w:t>
            </w:r>
          </w:p>
        </w:tc>
        <w:tc>
          <w:tcPr>
            <w:tcW w:w="1307" w:type="dxa"/>
            <w:tcBorders>
              <w:top w:val="dotted" w:sz="4" w:space="0" w:color="808080" w:themeColor="background1" w:themeShade="80"/>
              <w:left w:val="single" w:sz="8" w:space="0" w:color="auto"/>
              <w:bottom w:val="thinThickSmallGap" w:sz="24" w:space="0" w:color="auto"/>
              <w:right w:val="single" w:sz="12" w:space="0" w:color="auto"/>
            </w:tcBorders>
            <w:tcMar>
              <w:top w:w="0" w:type="dxa"/>
              <w:left w:w="108" w:type="dxa"/>
              <w:bottom w:w="0" w:type="dxa"/>
              <w:right w:w="108" w:type="dxa"/>
            </w:tcMar>
            <w:vAlign w:val="center"/>
            <w:hideMark/>
          </w:tcPr>
          <w:p w:rsidR="000C2BE4" w:rsidRPr="0004790B" w:rsidRDefault="000C2BE4" w:rsidP="004B10B9">
            <w:pPr>
              <w:spacing w:after="0"/>
              <w:jc w:val="center"/>
              <w:rPr>
                <w:rFonts w:ascii="Calibri" w:hAnsi="Calibri" w:cs="Calibri"/>
              </w:rPr>
            </w:pPr>
            <w:r w:rsidRPr="0004790B">
              <w:t>0</w:t>
            </w:r>
            <w:r w:rsidR="005D04F6">
              <w:t>7</w:t>
            </w:r>
            <w:r w:rsidRPr="0004790B">
              <w:t>/2015</w:t>
            </w:r>
          </w:p>
        </w:tc>
      </w:tr>
    </w:tbl>
    <w:p w:rsidR="00A9339D" w:rsidRDefault="00A9339D" w:rsidP="000C2BE4">
      <w:pPr>
        <w:rPr>
          <w:rFonts w:ascii="Calibri" w:hAnsi="Calibri" w:cs="Calibri"/>
          <w:color w:val="1F497D"/>
        </w:rPr>
      </w:pPr>
    </w:p>
    <w:p w:rsidR="00A9339D" w:rsidRDefault="00A9339D">
      <w:pPr>
        <w:rPr>
          <w:rFonts w:ascii="Calibri" w:hAnsi="Calibri" w:cs="Calibri"/>
          <w:color w:val="1F497D"/>
        </w:rPr>
      </w:pPr>
      <w:r>
        <w:rPr>
          <w:rFonts w:ascii="Calibri" w:hAnsi="Calibri" w:cs="Calibri"/>
          <w:color w:val="1F497D"/>
        </w:rPr>
        <w:br w:type="page"/>
      </w:r>
    </w:p>
    <w:p w:rsidR="00A9339D" w:rsidRPr="00A9339D" w:rsidRDefault="00A9339D" w:rsidP="00A9339D">
      <w:pPr>
        <w:pStyle w:val="Titulek"/>
        <w:keepNext/>
        <w:rPr>
          <w:color w:val="auto"/>
          <w:sz w:val="22"/>
        </w:rPr>
      </w:pPr>
      <w:bookmarkStart w:id="305" w:name="_Toc420058330"/>
      <w:r w:rsidRPr="00A9339D">
        <w:rPr>
          <w:color w:val="auto"/>
          <w:sz w:val="22"/>
        </w:rPr>
        <w:lastRenderedPageBreak/>
        <w:t xml:space="preserve">Tabulka č. </w:t>
      </w:r>
      <w:r w:rsidRPr="00A9339D">
        <w:rPr>
          <w:color w:val="auto"/>
          <w:sz w:val="22"/>
        </w:rPr>
        <w:fldChar w:fldCharType="begin"/>
      </w:r>
      <w:r w:rsidRPr="00A9339D">
        <w:rPr>
          <w:color w:val="auto"/>
          <w:sz w:val="22"/>
        </w:rPr>
        <w:instrText xml:space="preserve"> SEQ Tabulka_č. \* ARABIC </w:instrText>
      </w:r>
      <w:r w:rsidRPr="00A9339D">
        <w:rPr>
          <w:color w:val="auto"/>
          <w:sz w:val="22"/>
        </w:rPr>
        <w:fldChar w:fldCharType="separate"/>
      </w:r>
      <w:r w:rsidR="00FE1E1A">
        <w:rPr>
          <w:noProof/>
          <w:color w:val="auto"/>
          <w:sz w:val="22"/>
        </w:rPr>
        <w:t>26</w:t>
      </w:r>
      <w:r w:rsidRPr="00A9339D">
        <w:rPr>
          <w:color w:val="auto"/>
          <w:sz w:val="22"/>
        </w:rPr>
        <w:fldChar w:fldCharType="end"/>
      </w:r>
      <w:r w:rsidRPr="00A9339D">
        <w:rPr>
          <w:color w:val="auto"/>
          <w:sz w:val="22"/>
        </w:rPr>
        <w:t xml:space="preserve">: </w:t>
      </w:r>
      <w:r w:rsidRPr="00A9339D">
        <w:rPr>
          <w:b w:val="0"/>
          <w:i/>
          <w:noProof/>
          <w:color w:val="auto"/>
          <w:sz w:val="22"/>
        </w:rPr>
        <w:t xml:space="preserve">Klíčové úkoly pro nejbližší období (pro rok 2015) - </w:t>
      </w:r>
      <w:r>
        <w:rPr>
          <w:b w:val="0"/>
          <w:i/>
          <w:noProof/>
          <w:color w:val="auto"/>
          <w:sz w:val="22"/>
        </w:rPr>
        <w:t>2</w:t>
      </w:r>
      <w:r w:rsidRPr="00A9339D">
        <w:rPr>
          <w:b w:val="0"/>
          <w:i/>
          <w:noProof/>
          <w:color w:val="auto"/>
          <w:sz w:val="22"/>
        </w:rPr>
        <w:t>. část</w:t>
      </w:r>
      <w:bookmarkEnd w:id="305"/>
    </w:p>
    <w:tbl>
      <w:tblPr>
        <w:tblW w:w="0" w:type="auto"/>
        <w:tblCellMar>
          <w:left w:w="0" w:type="dxa"/>
          <w:right w:w="0" w:type="dxa"/>
        </w:tblCellMar>
        <w:tblLook w:val="04A0" w:firstRow="1" w:lastRow="0" w:firstColumn="1" w:lastColumn="0" w:noHBand="0" w:noVBand="1"/>
      </w:tblPr>
      <w:tblGrid>
        <w:gridCol w:w="947"/>
        <w:gridCol w:w="5635"/>
        <w:gridCol w:w="1395"/>
        <w:gridCol w:w="1311"/>
      </w:tblGrid>
      <w:tr w:rsidR="00A9339D" w:rsidRPr="0004790B" w:rsidTr="00C159C6">
        <w:tc>
          <w:tcPr>
            <w:tcW w:w="949" w:type="dxa"/>
            <w:tcBorders>
              <w:top w:val="single" w:sz="12" w:space="0" w:color="auto"/>
              <w:left w:val="single" w:sz="12"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tcPr>
          <w:p w:rsidR="00A9339D" w:rsidRPr="00CB3224" w:rsidRDefault="00A9339D" w:rsidP="007C1F8E">
            <w:pPr>
              <w:spacing w:before="120" w:after="120"/>
              <w:jc w:val="center"/>
              <w:rPr>
                <w:b/>
              </w:rPr>
            </w:pPr>
            <w:r w:rsidRPr="00CB3224">
              <w:rPr>
                <w:b/>
              </w:rPr>
              <w:t>Úkol č.</w:t>
            </w:r>
          </w:p>
        </w:tc>
        <w:tc>
          <w:tcPr>
            <w:tcW w:w="5648" w:type="dxa"/>
            <w:tcBorders>
              <w:top w:val="single" w:sz="12" w:space="0" w:color="auto"/>
              <w:left w:val="single" w:sz="8"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tcPr>
          <w:p w:rsidR="00A9339D" w:rsidRPr="00CB3224" w:rsidRDefault="00A9339D" w:rsidP="007C1F8E">
            <w:pPr>
              <w:spacing w:before="120" w:after="120"/>
              <w:jc w:val="center"/>
              <w:rPr>
                <w:b/>
              </w:rPr>
            </w:pPr>
            <w:r w:rsidRPr="00CB3224">
              <w:rPr>
                <w:b/>
              </w:rPr>
              <w:t>Specifikace úkolu</w:t>
            </w:r>
          </w:p>
        </w:tc>
        <w:tc>
          <w:tcPr>
            <w:tcW w:w="1379" w:type="dxa"/>
            <w:tcBorders>
              <w:top w:val="single" w:sz="12" w:space="0" w:color="auto"/>
              <w:left w:val="single" w:sz="8" w:space="0" w:color="auto"/>
              <w:bottom w:val="single" w:sz="12" w:space="0" w:color="auto"/>
              <w:right w:val="single" w:sz="8" w:space="0" w:color="auto"/>
            </w:tcBorders>
            <w:shd w:val="clear" w:color="auto" w:fill="B8CCE4" w:themeFill="accent1" w:themeFillTint="66"/>
            <w:tcMar>
              <w:top w:w="0" w:type="dxa"/>
              <w:left w:w="108" w:type="dxa"/>
              <w:bottom w:w="0" w:type="dxa"/>
              <w:right w:w="108" w:type="dxa"/>
            </w:tcMar>
            <w:vAlign w:val="center"/>
          </w:tcPr>
          <w:p w:rsidR="00A9339D" w:rsidRPr="00CB3224" w:rsidRDefault="00A9339D" w:rsidP="007C1F8E">
            <w:pPr>
              <w:spacing w:before="120" w:after="120"/>
              <w:jc w:val="center"/>
              <w:rPr>
                <w:b/>
              </w:rPr>
            </w:pPr>
            <w:r w:rsidRPr="00CB3224">
              <w:rPr>
                <w:b/>
              </w:rPr>
              <w:t>Zodpovídá / spolupracuje</w:t>
            </w:r>
          </w:p>
        </w:tc>
        <w:tc>
          <w:tcPr>
            <w:tcW w:w="1312" w:type="dxa"/>
            <w:tcBorders>
              <w:top w:val="single" w:sz="12" w:space="0" w:color="auto"/>
              <w:left w:val="single" w:sz="8" w:space="0" w:color="auto"/>
              <w:bottom w:val="single" w:sz="12" w:space="0" w:color="auto"/>
              <w:right w:val="single" w:sz="12" w:space="0" w:color="auto"/>
            </w:tcBorders>
            <w:shd w:val="clear" w:color="auto" w:fill="B8CCE4" w:themeFill="accent1" w:themeFillTint="66"/>
            <w:tcMar>
              <w:top w:w="0" w:type="dxa"/>
              <w:left w:w="108" w:type="dxa"/>
              <w:bottom w:w="0" w:type="dxa"/>
              <w:right w:w="108" w:type="dxa"/>
            </w:tcMar>
            <w:vAlign w:val="center"/>
          </w:tcPr>
          <w:p w:rsidR="00A9339D" w:rsidRPr="00CB3224" w:rsidRDefault="00A9339D" w:rsidP="007C1F8E">
            <w:pPr>
              <w:spacing w:before="120" w:after="120"/>
              <w:jc w:val="center"/>
              <w:rPr>
                <w:b/>
              </w:rPr>
            </w:pPr>
            <w:r w:rsidRPr="00CB3224">
              <w:rPr>
                <w:b/>
              </w:rPr>
              <w:t>Termín</w:t>
            </w:r>
          </w:p>
        </w:tc>
      </w:tr>
      <w:tr w:rsidR="00A9339D" w:rsidRPr="0004790B" w:rsidTr="00C159C6">
        <w:tc>
          <w:tcPr>
            <w:tcW w:w="949" w:type="dxa"/>
            <w:tcBorders>
              <w:top w:val="single" w:sz="12" w:space="0" w:color="auto"/>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C159C6">
            <w:pPr>
              <w:spacing w:after="0"/>
              <w:jc w:val="center"/>
              <w:rPr>
                <w:rFonts w:ascii="Calibri" w:hAnsi="Calibri" w:cs="Calibri"/>
              </w:rPr>
            </w:pPr>
            <w:r w:rsidRPr="0004790B">
              <w:t>5</w:t>
            </w:r>
          </w:p>
        </w:tc>
        <w:tc>
          <w:tcPr>
            <w:tcW w:w="5648" w:type="dxa"/>
            <w:tcBorders>
              <w:top w:val="single" w:sz="12" w:space="0" w:color="auto"/>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6E4509" w:rsidRDefault="00786D9F" w:rsidP="00E079DC">
            <w:pPr>
              <w:rPr>
                <w:rFonts w:ascii="Times New Roman" w:hAnsi="Times New Roman" w:cs="Times New Roman"/>
              </w:rPr>
            </w:pPr>
            <w:r w:rsidRPr="006E4509">
              <w:t>Zajistit zpracování právní analýzy, která posoudí možnosti výstavby NJZ společností skupiny ČEZ na základě pokynu majoritního vlastník</w:t>
            </w:r>
            <w:r w:rsidR="00E079DC">
              <w:t>a</w:t>
            </w:r>
            <w:r w:rsidRPr="006E4509">
              <w:t>.</w:t>
            </w:r>
          </w:p>
        </w:tc>
        <w:tc>
          <w:tcPr>
            <w:tcW w:w="1379" w:type="dxa"/>
            <w:tcBorders>
              <w:top w:val="single" w:sz="12" w:space="0" w:color="auto"/>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A9339D" w:rsidRPr="0004790B" w:rsidRDefault="00A9339D" w:rsidP="004B10B9">
            <w:pPr>
              <w:spacing w:after="0"/>
              <w:jc w:val="center"/>
              <w:rPr>
                <w:rFonts w:ascii="Calibri" w:hAnsi="Calibri" w:cs="Calibri"/>
              </w:rPr>
            </w:pPr>
            <w:r w:rsidRPr="0004790B">
              <w:t>MPO</w:t>
            </w:r>
          </w:p>
        </w:tc>
        <w:tc>
          <w:tcPr>
            <w:tcW w:w="1312" w:type="dxa"/>
            <w:tcBorders>
              <w:top w:val="single" w:sz="12" w:space="0" w:color="auto"/>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A9339D" w:rsidRPr="0004790B" w:rsidRDefault="005D04F6" w:rsidP="004B10B9">
            <w:pPr>
              <w:spacing w:after="0"/>
              <w:jc w:val="center"/>
              <w:rPr>
                <w:rFonts w:ascii="Calibri" w:hAnsi="Calibri" w:cs="Calibri"/>
              </w:rPr>
            </w:pPr>
            <w:r>
              <w:t>12</w:t>
            </w:r>
            <w:r w:rsidR="00A9339D" w:rsidRPr="0004790B">
              <w:t>/2015</w:t>
            </w:r>
          </w:p>
        </w:tc>
      </w:tr>
      <w:tr w:rsidR="00A9339D" w:rsidRPr="0004790B" w:rsidTr="00C159C6">
        <w:tc>
          <w:tcPr>
            <w:tcW w:w="949"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C159C6">
            <w:pPr>
              <w:spacing w:after="0"/>
              <w:jc w:val="center"/>
              <w:rPr>
                <w:rFonts w:ascii="Calibri" w:hAnsi="Calibri" w:cs="Calibri"/>
              </w:rPr>
            </w:pPr>
            <w:r w:rsidRPr="0004790B">
              <w:t>6</w:t>
            </w:r>
          </w:p>
        </w:tc>
        <w:tc>
          <w:tcPr>
            <w:tcW w:w="5648"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A9339D">
            <w:pPr>
              <w:spacing w:after="0"/>
              <w:rPr>
                <w:rFonts w:ascii="Calibri" w:hAnsi="Calibri" w:cs="Calibri"/>
              </w:rPr>
            </w:pPr>
            <w:r w:rsidRPr="0004790B">
              <w:t>Zajistit právní analýzu realizovatelnosti alternativních možností obchodního zajištění:</w:t>
            </w:r>
          </w:p>
          <w:p w:rsidR="00A9339D" w:rsidRPr="0004790B" w:rsidRDefault="00A9339D" w:rsidP="0044189F">
            <w:pPr>
              <w:pStyle w:val="Odstavecseseznamem"/>
              <w:numPr>
                <w:ilvl w:val="0"/>
                <w:numId w:val="84"/>
              </w:numPr>
              <w:spacing w:after="0"/>
            </w:pPr>
            <w:r w:rsidRPr="0004790B">
              <w:t>Získání výjimky z aplikace ZVZ pro výběr EPC dodavatele</w:t>
            </w:r>
          </w:p>
          <w:p w:rsidR="00A9339D" w:rsidRPr="0004790B" w:rsidRDefault="00A9339D" w:rsidP="0044189F">
            <w:pPr>
              <w:pStyle w:val="Odstavecseseznamem"/>
              <w:numPr>
                <w:ilvl w:val="0"/>
                <w:numId w:val="84"/>
              </w:numPr>
              <w:spacing w:after="0"/>
            </w:pPr>
            <w:r w:rsidRPr="0004790B">
              <w:t>Přímé zadání výstavby na základě mezivládní dohody</w:t>
            </w:r>
          </w:p>
        </w:tc>
        <w:tc>
          <w:tcPr>
            <w:tcW w:w="1379"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A9339D" w:rsidRPr="0004790B" w:rsidRDefault="00A9339D" w:rsidP="004B10B9">
            <w:pPr>
              <w:spacing w:after="0"/>
              <w:jc w:val="center"/>
              <w:rPr>
                <w:rFonts w:ascii="Calibri" w:hAnsi="Calibri" w:cs="Calibri"/>
              </w:rPr>
            </w:pPr>
            <w:r w:rsidRPr="0004790B">
              <w:t>MPO</w:t>
            </w:r>
          </w:p>
        </w:tc>
        <w:tc>
          <w:tcPr>
            <w:tcW w:w="1312"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A9339D" w:rsidRPr="0004790B" w:rsidRDefault="005D04F6" w:rsidP="004B10B9">
            <w:pPr>
              <w:spacing w:after="0"/>
              <w:jc w:val="center"/>
              <w:rPr>
                <w:rFonts w:ascii="Calibri" w:hAnsi="Calibri" w:cs="Calibri"/>
              </w:rPr>
            </w:pPr>
            <w:r>
              <w:t>12</w:t>
            </w:r>
            <w:r w:rsidR="00A9339D" w:rsidRPr="0004790B">
              <w:t>/2015</w:t>
            </w:r>
          </w:p>
        </w:tc>
      </w:tr>
      <w:tr w:rsidR="00A9339D" w:rsidRPr="0004790B" w:rsidTr="00C159C6">
        <w:tc>
          <w:tcPr>
            <w:tcW w:w="949"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C159C6">
            <w:pPr>
              <w:spacing w:after="0"/>
              <w:jc w:val="center"/>
              <w:rPr>
                <w:rFonts w:ascii="Calibri" w:hAnsi="Calibri" w:cs="Calibri"/>
              </w:rPr>
            </w:pPr>
            <w:r w:rsidRPr="0004790B">
              <w:t>7</w:t>
            </w:r>
          </w:p>
        </w:tc>
        <w:tc>
          <w:tcPr>
            <w:tcW w:w="5648"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A9339D">
            <w:pPr>
              <w:spacing w:after="0"/>
              <w:rPr>
                <w:rFonts w:ascii="Calibri" w:hAnsi="Calibri" w:cs="Calibri"/>
              </w:rPr>
            </w:pPr>
            <w:r w:rsidRPr="0004790B">
              <w:t xml:space="preserve">Zajistit právní analýzu souladu jednotlivých modelů investorského a obchodního zajištění s pravidly </w:t>
            </w:r>
            <w:r w:rsidR="00EA0E7A">
              <w:t>veřejné podpory</w:t>
            </w:r>
            <w:r w:rsidRPr="0004790B">
              <w:t xml:space="preserve"> (</w:t>
            </w:r>
            <w:proofErr w:type="spellStart"/>
            <w:r w:rsidRPr="0004790B">
              <w:t>CfD</w:t>
            </w:r>
            <w:proofErr w:type="spellEnd"/>
            <w:r w:rsidRPr="0004790B">
              <w:t>, státní záruky za dluh, účast státu na financování výstavby, státní záruky za odkoupení společnosti)</w:t>
            </w:r>
          </w:p>
          <w:p w:rsidR="00A9339D" w:rsidRPr="0004790B" w:rsidRDefault="00A9339D" w:rsidP="00A9339D">
            <w:pPr>
              <w:spacing w:after="0"/>
              <w:rPr>
                <w:rFonts w:ascii="Calibri" w:hAnsi="Calibri" w:cs="Calibri"/>
              </w:rPr>
            </w:pPr>
            <w:r w:rsidRPr="0004790B">
              <w:t>Zajistit analýzu legislativních úprav s cílem minimalizace rizik a jejich dopadů v oblasti povolovacích a licenčních procesů přípravy a výstavby NJZ</w:t>
            </w:r>
          </w:p>
        </w:tc>
        <w:tc>
          <w:tcPr>
            <w:tcW w:w="1379"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A9339D" w:rsidRPr="0004790B" w:rsidRDefault="00A9339D" w:rsidP="004B10B9">
            <w:pPr>
              <w:spacing w:after="0"/>
              <w:jc w:val="center"/>
              <w:rPr>
                <w:rFonts w:ascii="Calibri" w:hAnsi="Calibri" w:cs="Calibri"/>
              </w:rPr>
            </w:pPr>
            <w:r w:rsidRPr="0004790B">
              <w:t>MPO</w:t>
            </w:r>
          </w:p>
        </w:tc>
        <w:tc>
          <w:tcPr>
            <w:tcW w:w="1312"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A9339D" w:rsidRPr="0004790B" w:rsidRDefault="005D04F6" w:rsidP="004B10B9">
            <w:pPr>
              <w:spacing w:after="0"/>
              <w:jc w:val="center"/>
              <w:rPr>
                <w:rFonts w:ascii="Calibri" w:hAnsi="Calibri" w:cs="Calibri"/>
              </w:rPr>
            </w:pPr>
            <w:r>
              <w:t>12</w:t>
            </w:r>
            <w:r w:rsidR="00A9339D" w:rsidRPr="0004790B">
              <w:t>/2015</w:t>
            </w:r>
          </w:p>
        </w:tc>
      </w:tr>
      <w:tr w:rsidR="00A9339D" w:rsidRPr="0004790B" w:rsidTr="00C159C6">
        <w:tc>
          <w:tcPr>
            <w:tcW w:w="949" w:type="dxa"/>
            <w:tcBorders>
              <w:top w:val="dotted" w:sz="4" w:space="0" w:color="808080" w:themeColor="background1" w:themeShade="80"/>
              <w:left w:val="single" w:sz="12"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C159C6">
            <w:pPr>
              <w:spacing w:after="0"/>
              <w:jc w:val="center"/>
              <w:rPr>
                <w:rFonts w:ascii="Calibri" w:hAnsi="Calibri" w:cs="Calibri"/>
              </w:rPr>
            </w:pPr>
            <w:r w:rsidRPr="0004790B">
              <w:t>8</w:t>
            </w:r>
          </w:p>
        </w:tc>
        <w:tc>
          <w:tcPr>
            <w:tcW w:w="5648"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hideMark/>
          </w:tcPr>
          <w:p w:rsidR="00A9339D" w:rsidRPr="0004790B" w:rsidRDefault="00A9339D" w:rsidP="00A9339D">
            <w:pPr>
              <w:spacing w:after="0"/>
              <w:rPr>
                <w:rFonts w:ascii="Calibri" w:hAnsi="Calibri" w:cs="Calibri"/>
              </w:rPr>
            </w:pPr>
            <w:r w:rsidRPr="0004790B">
              <w:t xml:space="preserve">Rozhodnout o investičním a obchodním modelu výstavby NJZ </w:t>
            </w:r>
          </w:p>
        </w:tc>
        <w:tc>
          <w:tcPr>
            <w:tcW w:w="1379" w:type="dxa"/>
            <w:tcBorders>
              <w:top w:val="dotted" w:sz="4" w:space="0" w:color="808080" w:themeColor="background1" w:themeShade="80"/>
              <w:left w:val="single" w:sz="8" w:space="0" w:color="auto"/>
              <w:bottom w:val="dotted" w:sz="4" w:space="0" w:color="808080" w:themeColor="background1" w:themeShade="80"/>
              <w:right w:val="single" w:sz="8" w:space="0" w:color="auto"/>
            </w:tcBorders>
            <w:tcMar>
              <w:top w:w="0" w:type="dxa"/>
              <w:left w:w="108" w:type="dxa"/>
              <w:bottom w:w="0" w:type="dxa"/>
              <w:right w:w="108" w:type="dxa"/>
            </w:tcMar>
            <w:vAlign w:val="center"/>
            <w:hideMark/>
          </w:tcPr>
          <w:p w:rsidR="00A9339D" w:rsidRPr="0004790B" w:rsidRDefault="00A9339D" w:rsidP="004B10B9">
            <w:pPr>
              <w:spacing w:after="0"/>
              <w:jc w:val="center"/>
              <w:rPr>
                <w:rFonts w:ascii="Calibri" w:hAnsi="Calibri" w:cs="Calibri"/>
              </w:rPr>
            </w:pPr>
            <w:r w:rsidRPr="0004790B">
              <w:t>Vláda</w:t>
            </w:r>
          </w:p>
        </w:tc>
        <w:tc>
          <w:tcPr>
            <w:tcW w:w="1312" w:type="dxa"/>
            <w:tcBorders>
              <w:top w:val="dotted" w:sz="4" w:space="0" w:color="808080" w:themeColor="background1" w:themeShade="80"/>
              <w:left w:val="single" w:sz="8" w:space="0" w:color="auto"/>
              <w:bottom w:val="dotted" w:sz="4" w:space="0" w:color="808080" w:themeColor="background1" w:themeShade="80"/>
              <w:right w:val="single" w:sz="12" w:space="0" w:color="auto"/>
            </w:tcBorders>
            <w:tcMar>
              <w:top w:w="0" w:type="dxa"/>
              <w:left w:w="108" w:type="dxa"/>
              <w:bottom w:w="0" w:type="dxa"/>
              <w:right w:w="108" w:type="dxa"/>
            </w:tcMar>
            <w:vAlign w:val="center"/>
            <w:hideMark/>
          </w:tcPr>
          <w:p w:rsidR="00A9339D" w:rsidRPr="0004790B" w:rsidRDefault="005D04F6" w:rsidP="004B10B9">
            <w:pPr>
              <w:spacing w:after="0"/>
              <w:jc w:val="center"/>
              <w:rPr>
                <w:rFonts w:ascii="Calibri" w:hAnsi="Calibri" w:cs="Calibri"/>
              </w:rPr>
            </w:pPr>
            <w:r>
              <w:t>06/2016</w:t>
            </w:r>
          </w:p>
        </w:tc>
      </w:tr>
      <w:tr w:rsidR="00A9339D" w:rsidRPr="00360BC7" w:rsidTr="00C159C6">
        <w:tc>
          <w:tcPr>
            <w:tcW w:w="949" w:type="dxa"/>
            <w:tcBorders>
              <w:top w:val="dotted" w:sz="4" w:space="0" w:color="808080" w:themeColor="background1" w:themeShade="80"/>
              <w:left w:val="single" w:sz="12" w:space="0" w:color="auto"/>
              <w:bottom w:val="thinThickSmallGap" w:sz="24" w:space="0" w:color="auto"/>
              <w:right w:val="single" w:sz="8" w:space="0" w:color="auto"/>
            </w:tcBorders>
            <w:tcMar>
              <w:top w:w="0" w:type="dxa"/>
              <w:left w:w="108" w:type="dxa"/>
              <w:bottom w:w="0" w:type="dxa"/>
              <w:right w:w="108" w:type="dxa"/>
            </w:tcMar>
            <w:hideMark/>
          </w:tcPr>
          <w:p w:rsidR="00A9339D" w:rsidRPr="00360BC7" w:rsidRDefault="00A9339D" w:rsidP="00C159C6">
            <w:pPr>
              <w:spacing w:after="0"/>
              <w:jc w:val="center"/>
              <w:rPr>
                <w:rFonts w:ascii="Calibri" w:hAnsi="Calibri" w:cs="Calibri"/>
              </w:rPr>
            </w:pPr>
            <w:r w:rsidRPr="00360BC7">
              <w:t>9</w:t>
            </w:r>
          </w:p>
        </w:tc>
        <w:tc>
          <w:tcPr>
            <w:tcW w:w="5648" w:type="dxa"/>
            <w:tcBorders>
              <w:top w:val="dotted" w:sz="4" w:space="0" w:color="808080" w:themeColor="background1" w:themeShade="80"/>
              <w:left w:val="single" w:sz="8" w:space="0" w:color="auto"/>
              <w:bottom w:val="thinThickSmallGap" w:sz="24" w:space="0" w:color="auto"/>
              <w:right w:val="single" w:sz="8" w:space="0" w:color="auto"/>
            </w:tcBorders>
            <w:tcMar>
              <w:top w:w="0" w:type="dxa"/>
              <w:left w:w="108" w:type="dxa"/>
              <w:bottom w:w="0" w:type="dxa"/>
              <w:right w:w="108" w:type="dxa"/>
            </w:tcMar>
            <w:hideMark/>
          </w:tcPr>
          <w:p w:rsidR="00A9339D" w:rsidRPr="00360BC7" w:rsidRDefault="00A9339D" w:rsidP="00A9339D">
            <w:pPr>
              <w:spacing w:after="0"/>
              <w:jc w:val="both"/>
              <w:rPr>
                <w:rFonts w:ascii="Calibri" w:hAnsi="Calibri" w:cs="Calibri"/>
              </w:rPr>
            </w:pPr>
            <w:r w:rsidRPr="00360BC7">
              <w:t>V návaznosti na závěry NAP JE připravit k projednání na Vládě ČR materiál, který bude konkretizovat další postup především v následujících oblastech:</w:t>
            </w:r>
          </w:p>
          <w:p w:rsidR="00A9339D" w:rsidRPr="00360BC7" w:rsidRDefault="00BA24EC" w:rsidP="0044189F">
            <w:pPr>
              <w:pStyle w:val="Odstavecseseznamem"/>
              <w:numPr>
                <w:ilvl w:val="0"/>
                <w:numId w:val="85"/>
              </w:numPr>
              <w:spacing w:after="0"/>
              <w:jc w:val="both"/>
            </w:pPr>
            <w:r>
              <w:t>P</w:t>
            </w:r>
            <w:r w:rsidR="00A9339D" w:rsidRPr="00360BC7">
              <w:t>referovaný model investorsko-obchodního zajištění výstavby NJZ</w:t>
            </w:r>
          </w:p>
          <w:p w:rsidR="00A9339D" w:rsidRPr="00360BC7" w:rsidRDefault="00BA24EC" w:rsidP="0044189F">
            <w:pPr>
              <w:pStyle w:val="Odstavecseseznamem"/>
              <w:numPr>
                <w:ilvl w:val="0"/>
                <w:numId w:val="85"/>
              </w:numPr>
              <w:spacing w:after="0"/>
              <w:jc w:val="both"/>
            </w:pPr>
            <w:r>
              <w:t>A</w:t>
            </w:r>
            <w:r w:rsidR="00A9339D" w:rsidRPr="00360BC7">
              <w:t>ktualizace opatření a konkretizac</w:t>
            </w:r>
            <w:r w:rsidR="008F6886">
              <w:t>e</w:t>
            </w:r>
            <w:r w:rsidR="00A9339D" w:rsidRPr="00360BC7">
              <w:t xml:space="preserve"> úkolů v jednotlivých oblastech </w:t>
            </w:r>
            <w:r>
              <w:t>rozvoje jaderné energetiky (viz</w:t>
            </w:r>
            <w:r w:rsidR="00A9339D" w:rsidRPr="00360BC7">
              <w:t xml:space="preserve"> kapitola 6) pro roky 2016 – 2021 a výhled do roku 2030</w:t>
            </w:r>
          </w:p>
          <w:p w:rsidR="00A9339D" w:rsidRPr="00360BC7" w:rsidRDefault="00BA24EC" w:rsidP="0044189F">
            <w:pPr>
              <w:pStyle w:val="Odstavecseseznamem"/>
              <w:numPr>
                <w:ilvl w:val="0"/>
                <w:numId w:val="85"/>
              </w:numPr>
              <w:spacing w:after="0"/>
              <w:jc w:val="both"/>
            </w:pPr>
            <w:r>
              <w:t>H</w:t>
            </w:r>
            <w:r w:rsidR="00A9339D" w:rsidRPr="00360BC7">
              <w:t>armonogram legislativních úprav s cílem minimalizace rizik a jejich dopadů v oblasti povolovacích a licenčních procesů přípravy a výstavby NJZ</w:t>
            </w:r>
          </w:p>
          <w:p w:rsidR="00A9339D" w:rsidRPr="00360BC7" w:rsidRDefault="00BA24EC" w:rsidP="008F6886">
            <w:pPr>
              <w:pStyle w:val="Odstavecseseznamem"/>
              <w:numPr>
                <w:ilvl w:val="0"/>
                <w:numId w:val="85"/>
              </w:numPr>
              <w:spacing w:after="0"/>
              <w:jc w:val="both"/>
            </w:pPr>
            <w:r>
              <w:t>P</w:t>
            </w:r>
            <w:r w:rsidR="00A9339D" w:rsidRPr="00360BC7">
              <w:t>ředpokládan</w:t>
            </w:r>
            <w:r w:rsidR="008F6886">
              <w:t>ý</w:t>
            </w:r>
            <w:r w:rsidR="00A9339D" w:rsidRPr="00360BC7">
              <w:t xml:space="preserve"> harmonogram přípravy a výstavby NJZ připravený na základě  vybraného investorského a obchodního modelu</w:t>
            </w:r>
          </w:p>
        </w:tc>
        <w:tc>
          <w:tcPr>
            <w:tcW w:w="1379" w:type="dxa"/>
            <w:tcBorders>
              <w:top w:val="dotted" w:sz="4" w:space="0" w:color="808080" w:themeColor="background1" w:themeShade="80"/>
              <w:left w:val="single" w:sz="8" w:space="0" w:color="auto"/>
              <w:bottom w:val="thinThickSmallGap" w:sz="24" w:space="0" w:color="auto"/>
              <w:right w:val="single" w:sz="8" w:space="0" w:color="auto"/>
            </w:tcBorders>
            <w:tcMar>
              <w:top w:w="0" w:type="dxa"/>
              <w:left w:w="108" w:type="dxa"/>
              <w:bottom w:w="0" w:type="dxa"/>
              <w:right w:w="108" w:type="dxa"/>
            </w:tcMar>
            <w:vAlign w:val="center"/>
            <w:hideMark/>
          </w:tcPr>
          <w:p w:rsidR="00A9339D" w:rsidRPr="00360BC7" w:rsidRDefault="00A9339D" w:rsidP="004B10B9">
            <w:pPr>
              <w:spacing w:after="0"/>
              <w:jc w:val="center"/>
              <w:rPr>
                <w:rFonts w:ascii="Calibri" w:hAnsi="Calibri" w:cs="Calibri"/>
              </w:rPr>
            </w:pPr>
            <w:r w:rsidRPr="00360BC7">
              <w:t>MPO / MF</w:t>
            </w:r>
          </w:p>
        </w:tc>
        <w:tc>
          <w:tcPr>
            <w:tcW w:w="1312" w:type="dxa"/>
            <w:tcBorders>
              <w:top w:val="dotted" w:sz="4" w:space="0" w:color="808080" w:themeColor="background1" w:themeShade="80"/>
              <w:left w:val="single" w:sz="8" w:space="0" w:color="auto"/>
              <w:bottom w:val="thinThickSmallGap" w:sz="24" w:space="0" w:color="auto"/>
              <w:right w:val="single" w:sz="12" w:space="0" w:color="auto"/>
            </w:tcBorders>
            <w:tcMar>
              <w:top w:w="0" w:type="dxa"/>
              <w:left w:w="108" w:type="dxa"/>
              <w:bottom w:w="0" w:type="dxa"/>
              <w:right w:w="108" w:type="dxa"/>
            </w:tcMar>
            <w:vAlign w:val="center"/>
            <w:hideMark/>
          </w:tcPr>
          <w:p w:rsidR="00A9339D" w:rsidRPr="00360BC7" w:rsidRDefault="005D04F6" w:rsidP="004B10B9">
            <w:pPr>
              <w:spacing w:after="0"/>
              <w:jc w:val="center"/>
              <w:rPr>
                <w:rFonts w:ascii="Calibri" w:hAnsi="Calibri" w:cs="Calibri"/>
              </w:rPr>
            </w:pPr>
            <w:r>
              <w:t>12/2016</w:t>
            </w:r>
          </w:p>
        </w:tc>
      </w:tr>
    </w:tbl>
    <w:p w:rsidR="00B71544" w:rsidRDefault="00B71544">
      <w:pPr>
        <w:rPr>
          <w:rFonts w:ascii="Calibri" w:hAnsi="Calibri" w:cs="Calibri"/>
          <w:color w:val="1F497D"/>
        </w:rPr>
      </w:pPr>
      <w:r>
        <w:rPr>
          <w:rFonts w:ascii="Calibri" w:hAnsi="Calibri" w:cs="Calibri"/>
          <w:smallCaps/>
          <w:color w:val="1F497D"/>
        </w:rPr>
        <w:br w:type="page"/>
      </w:r>
    </w:p>
    <w:p w:rsidR="00CB6E1C" w:rsidRDefault="00455353" w:rsidP="00A9339D">
      <w:pPr>
        <w:pStyle w:val="Podnzev"/>
        <w:rPr>
          <w:rFonts w:asciiTheme="minorHAnsi" w:eastAsiaTheme="minorHAnsi" w:hAnsiTheme="minorHAnsi" w:cstheme="minorBidi"/>
          <w:b/>
          <w:iCs/>
          <w:smallCaps w:val="0"/>
          <w:color w:val="auto"/>
          <w:sz w:val="22"/>
          <w:szCs w:val="22"/>
          <w:lang w:val="cs-CZ" w:eastAsia="en-US"/>
        </w:rPr>
      </w:pPr>
      <w:r w:rsidRPr="00455353">
        <w:rPr>
          <w:rFonts w:asciiTheme="minorHAnsi" w:eastAsiaTheme="minorHAnsi" w:hAnsiTheme="minorHAnsi" w:cstheme="minorBidi"/>
          <w:b/>
          <w:iCs/>
          <w:smallCaps w:val="0"/>
          <w:color w:val="auto"/>
          <w:sz w:val="22"/>
          <w:szCs w:val="22"/>
          <w:lang w:val="cs-CZ" w:eastAsia="en-US"/>
        </w:rPr>
        <w:lastRenderedPageBreak/>
        <w:t>Seznam grafů:</w:t>
      </w:r>
    </w:p>
    <w:p w:rsidR="001142B8" w:rsidRDefault="00911702">
      <w:pPr>
        <w:pStyle w:val="Seznamobrzk"/>
        <w:tabs>
          <w:tab w:val="right" w:leader="dot" w:pos="9062"/>
        </w:tabs>
        <w:rPr>
          <w:rFonts w:eastAsiaTheme="minorEastAsia"/>
          <w:noProof/>
          <w:lang w:eastAsia="cs-CZ"/>
        </w:rPr>
      </w:pPr>
      <w:r>
        <w:rPr>
          <w:i/>
          <w:iCs/>
        </w:rPr>
        <w:fldChar w:fldCharType="begin"/>
      </w:r>
      <w:r>
        <w:rPr>
          <w:i/>
          <w:iCs/>
        </w:rPr>
        <w:instrText xml:space="preserve"> TOC \h \z \c "Graf č." </w:instrText>
      </w:r>
      <w:r>
        <w:rPr>
          <w:i/>
          <w:iCs/>
        </w:rPr>
        <w:fldChar w:fldCharType="separate"/>
      </w:r>
      <w:hyperlink w:anchor="_Toc420058299" w:history="1">
        <w:r w:rsidR="001142B8" w:rsidRPr="006A106E">
          <w:rPr>
            <w:rStyle w:val="Hypertextovodkaz"/>
            <w:noProof/>
          </w:rPr>
          <w:t xml:space="preserve">Graf č. 1: </w:t>
        </w:r>
        <w:r w:rsidR="001142B8" w:rsidRPr="006A106E">
          <w:rPr>
            <w:rStyle w:val="Hypertextovodkaz"/>
            <w:i/>
            <w:noProof/>
          </w:rPr>
          <w:t>Měrné náklady na výrobu elektřiny pro jednotlivé typy elektráren v ČR</w:t>
        </w:r>
        <w:r w:rsidR="001142B8">
          <w:rPr>
            <w:noProof/>
            <w:webHidden/>
          </w:rPr>
          <w:tab/>
        </w:r>
        <w:r w:rsidR="001142B8">
          <w:rPr>
            <w:noProof/>
            <w:webHidden/>
          </w:rPr>
          <w:fldChar w:fldCharType="begin"/>
        </w:r>
        <w:r w:rsidR="001142B8">
          <w:rPr>
            <w:noProof/>
            <w:webHidden/>
          </w:rPr>
          <w:instrText xml:space="preserve"> PAGEREF _Toc420058299 \h </w:instrText>
        </w:r>
        <w:r w:rsidR="001142B8">
          <w:rPr>
            <w:noProof/>
            <w:webHidden/>
          </w:rPr>
        </w:r>
        <w:r w:rsidR="001142B8">
          <w:rPr>
            <w:noProof/>
            <w:webHidden/>
          </w:rPr>
          <w:fldChar w:fldCharType="separate"/>
        </w:r>
        <w:r w:rsidR="001142B8">
          <w:rPr>
            <w:noProof/>
            <w:webHidden/>
          </w:rPr>
          <w:t>18</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0" w:history="1">
        <w:r w:rsidR="001142B8" w:rsidRPr="001142B8">
          <w:rPr>
            <w:rStyle w:val="Hypertextovodkaz"/>
            <w:noProof/>
          </w:rPr>
          <w:t>Graf č. 2:</w:t>
        </w:r>
        <w:r w:rsidR="001142B8" w:rsidRPr="006A106E">
          <w:rPr>
            <w:rStyle w:val="Hypertextovodkaz"/>
            <w:noProof/>
          </w:rPr>
          <w:t xml:space="preserve"> </w:t>
        </w:r>
        <w:r w:rsidR="001142B8" w:rsidRPr="006A106E">
          <w:rPr>
            <w:rStyle w:val="Hypertextovodkaz"/>
            <w:i/>
            <w:noProof/>
          </w:rPr>
          <w:t>Měrné náklady na výrobu elektřiny z obnovitelných zdrojů ve světě</w:t>
        </w:r>
        <w:r w:rsidR="001142B8">
          <w:rPr>
            <w:noProof/>
            <w:webHidden/>
          </w:rPr>
          <w:tab/>
        </w:r>
        <w:r w:rsidR="001142B8">
          <w:rPr>
            <w:noProof/>
            <w:webHidden/>
          </w:rPr>
          <w:fldChar w:fldCharType="begin"/>
        </w:r>
        <w:r w:rsidR="001142B8">
          <w:rPr>
            <w:noProof/>
            <w:webHidden/>
          </w:rPr>
          <w:instrText xml:space="preserve"> PAGEREF _Toc420058300 \h </w:instrText>
        </w:r>
        <w:r w:rsidR="001142B8">
          <w:rPr>
            <w:noProof/>
            <w:webHidden/>
          </w:rPr>
        </w:r>
        <w:r w:rsidR="001142B8">
          <w:rPr>
            <w:noProof/>
            <w:webHidden/>
          </w:rPr>
          <w:fldChar w:fldCharType="separate"/>
        </w:r>
        <w:r w:rsidR="001142B8">
          <w:rPr>
            <w:noProof/>
            <w:webHidden/>
          </w:rPr>
          <w:t>19</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1" w:history="1">
        <w:r w:rsidR="001142B8" w:rsidRPr="006A106E">
          <w:rPr>
            <w:rStyle w:val="Hypertextovodkaz"/>
            <w:noProof/>
          </w:rPr>
          <w:t xml:space="preserve">Graf č. 3: </w:t>
        </w:r>
        <w:r w:rsidR="001142B8" w:rsidRPr="006A106E">
          <w:rPr>
            <w:rStyle w:val="Hypertextovodkaz"/>
            <w:i/>
            <w:noProof/>
          </w:rPr>
          <w:t>Srovnání disponibility ETE a EDU se světem</w:t>
        </w:r>
        <w:r w:rsidR="001142B8">
          <w:rPr>
            <w:noProof/>
            <w:webHidden/>
          </w:rPr>
          <w:tab/>
        </w:r>
        <w:r w:rsidR="001142B8">
          <w:rPr>
            <w:noProof/>
            <w:webHidden/>
          </w:rPr>
          <w:fldChar w:fldCharType="begin"/>
        </w:r>
        <w:r w:rsidR="001142B8">
          <w:rPr>
            <w:noProof/>
            <w:webHidden/>
          </w:rPr>
          <w:instrText xml:space="preserve"> PAGEREF _Toc420058301 \h </w:instrText>
        </w:r>
        <w:r w:rsidR="001142B8">
          <w:rPr>
            <w:noProof/>
            <w:webHidden/>
          </w:rPr>
        </w:r>
        <w:r w:rsidR="001142B8">
          <w:rPr>
            <w:noProof/>
            <w:webHidden/>
          </w:rPr>
          <w:fldChar w:fldCharType="separate"/>
        </w:r>
        <w:r w:rsidR="001142B8">
          <w:rPr>
            <w:noProof/>
            <w:webHidden/>
          </w:rPr>
          <w:t>44</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2" w:history="1">
        <w:r w:rsidR="001142B8" w:rsidRPr="006A106E">
          <w:rPr>
            <w:rStyle w:val="Hypertextovodkaz"/>
            <w:noProof/>
          </w:rPr>
          <w:t xml:space="preserve">Graf č. 4: </w:t>
        </w:r>
        <w:r w:rsidR="001142B8" w:rsidRPr="006A106E">
          <w:rPr>
            <w:rStyle w:val="Hypertextovodkaz"/>
            <w:i/>
            <w:noProof/>
          </w:rPr>
          <w:t>Rozpad CAPEX na výstavbu JE v letech</w:t>
        </w:r>
        <w:r w:rsidR="001142B8">
          <w:rPr>
            <w:noProof/>
            <w:webHidden/>
          </w:rPr>
          <w:tab/>
        </w:r>
        <w:r w:rsidR="001142B8">
          <w:rPr>
            <w:noProof/>
            <w:webHidden/>
          </w:rPr>
          <w:fldChar w:fldCharType="begin"/>
        </w:r>
        <w:r w:rsidR="001142B8">
          <w:rPr>
            <w:noProof/>
            <w:webHidden/>
          </w:rPr>
          <w:instrText xml:space="preserve"> PAGEREF _Toc420058302 \h </w:instrText>
        </w:r>
        <w:r w:rsidR="001142B8">
          <w:rPr>
            <w:noProof/>
            <w:webHidden/>
          </w:rPr>
        </w:r>
        <w:r w:rsidR="001142B8">
          <w:rPr>
            <w:noProof/>
            <w:webHidden/>
          </w:rPr>
          <w:fldChar w:fldCharType="separate"/>
        </w:r>
        <w:r w:rsidR="001142B8">
          <w:rPr>
            <w:noProof/>
            <w:webHidden/>
          </w:rPr>
          <w:t>67</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3" w:history="1">
        <w:r w:rsidR="001142B8" w:rsidRPr="006A106E">
          <w:rPr>
            <w:rStyle w:val="Hypertextovodkaz"/>
            <w:noProof/>
          </w:rPr>
          <w:t xml:space="preserve">Graf č. 5: </w:t>
        </w:r>
        <w:r w:rsidR="001142B8" w:rsidRPr="006A106E">
          <w:rPr>
            <w:rStyle w:val="Hypertextovodkaz"/>
            <w:i/>
            <w:noProof/>
          </w:rPr>
          <w:t>Vývoj ceny elektrické energie do roku 2030</w:t>
        </w:r>
        <w:r w:rsidR="001142B8">
          <w:rPr>
            <w:noProof/>
            <w:webHidden/>
          </w:rPr>
          <w:tab/>
        </w:r>
        <w:r w:rsidR="001142B8">
          <w:rPr>
            <w:noProof/>
            <w:webHidden/>
          </w:rPr>
          <w:fldChar w:fldCharType="begin"/>
        </w:r>
        <w:r w:rsidR="001142B8">
          <w:rPr>
            <w:noProof/>
            <w:webHidden/>
          </w:rPr>
          <w:instrText xml:space="preserve"> PAGEREF _Toc420058303 \h </w:instrText>
        </w:r>
        <w:r w:rsidR="001142B8">
          <w:rPr>
            <w:noProof/>
            <w:webHidden/>
          </w:rPr>
        </w:r>
        <w:r w:rsidR="001142B8">
          <w:rPr>
            <w:noProof/>
            <w:webHidden/>
          </w:rPr>
          <w:fldChar w:fldCharType="separate"/>
        </w:r>
        <w:r w:rsidR="001142B8">
          <w:rPr>
            <w:noProof/>
            <w:webHidden/>
          </w:rPr>
          <w:t>70</w:t>
        </w:r>
        <w:r w:rsidR="001142B8">
          <w:rPr>
            <w:noProof/>
            <w:webHidden/>
          </w:rPr>
          <w:fldChar w:fldCharType="end"/>
        </w:r>
      </w:hyperlink>
    </w:p>
    <w:p w:rsidR="001142B8" w:rsidRDefault="00911702" w:rsidP="00A9339D">
      <w:pPr>
        <w:pStyle w:val="Podnzev"/>
        <w:rPr>
          <w:noProof/>
        </w:rPr>
      </w:pPr>
      <w:r>
        <w:rPr>
          <w:rFonts w:asciiTheme="minorHAnsi" w:eastAsiaTheme="minorHAnsi" w:hAnsiTheme="minorHAnsi" w:cstheme="minorBidi"/>
          <w:i/>
          <w:iCs/>
          <w:color w:val="auto"/>
          <w:sz w:val="22"/>
          <w:szCs w:val="22"/>
          <w:lang w:val="cs-CZ" w:eastAsia="en-US"/>
        </w:rPr>
        <w:fldChar w:fldCharType="end"/>
      </w:r>
      <w:r w:rsidR="00455353" w:rsidRPr="00455353">
        <w:rPr>
          <w:rFonts w:asciiTheme="minorHAnsi" w:eastAsiaTheme="minorHAnsi" w:hAnsiTheme="minorHAnsi" w:cstheme="minorBidi"/>
          <w:b/>
          <w:iCs/>
          <w:smallCaps w:val="0"/>
          <w:color w:val="auto"/>
          <w:sz w:val="22"/>
          <w:szCs w:val="22"/>
          <w:lang w:val="cs-CZ" w:eastAsia="en-US"/>
        </w:rPr>
        <w:t>Seznam tabulek:</w:t>
      </w:r>
      <w:r w:rsidR="00A9339D">
        <w:rPr>
          <w:rFonts w:asciiTheme="minorHAnsi" w:eastAsiaTheme="minorHAnsi" w:hAnsiTheme="minorHAnsi" w:cstheme="minorBidi"/>
          <w:b/>
          <w:iCs/>
          <w:smallCaps w:val="0"/>
          <w:color w:val="auto"/>
          <w:sz w:val="22"/>
          <w:szCs w:val="22"/>
          <w:lang w:val="cs-CZ" w:eastAsia="en-US"/>
        </w:rPr>
        <w:fldChar w:fldCharType="begin"/>
      </w:r>
      <w:r w:rsidR="00A9339D" w:rsidRPr="00455353">
        <w:rPr>
          <w:rFonts w:asciiTheme="minorHAnsi" w:eastAsiaTheme="minorHAnsi" w:hAnsiTheme="minorHAnsi" w:cstheme="minorBidi"/>
          <w:b/>
          <w:iCs/>
          <w:smallCaps w:val="0"/>
          <w:color w:val="auto"/>
          <w:sz w:val="22"/>
          <w:szCs w:val="22"/>
          <w:lang w:val="cs-CZ" w:eastAsia="en-US"/>
        </w:rPr>
        <w:instrText xml:space="preserve"> TOC \h \z \c "Tabulka č." </w:instrText>
      </w:r>
      <w:r w:rsidR="00A9339D">
        <w:rPr>
          <w:rFonts w:asciiTheme="minorHAnsi" w:eastAsiaTheme="minorHAnsi" w:hAnsiTheme="minorHAnsi" w:cstheme="minorBidi"/>
          <w:b/>
          <w:iCs/>
          <w:smallCaps w:val="0"/>
          <w:color w:val="auto"/>
          <w:sz w:val="22"/>
          <w:szCs w:val="22"/>
          <w:lang w:val="cs-CZ" w:eastAsia="en-US"/>
        </w:rPr>
        <w:fldChar w:fldCharType="separate"/>
      </w:r>
    </w:p>
    <w:p w:rsidR="001142B8" w:rsidRDefault="005D04F6">
      <w:pPr>
        <w:pStyle w:val="Seznamobrzk"/>
        <w:tabs>
          <w:tab w:val="right" w:leader="dot" w:pos="9062"/>
        </w:tabs>
        <w:rPr>
          <w:rFonts w:eastAsiaTheme="minorEastAsia"/>
          <w:noProof/>
          <w:lang w:eastAsia="cs-CZ"/>
        </w:rPr>
      </w:pPr>
      <w:hyperlink w:anchor="_Toc420058305" w:history="1">
        <w:r w:rsidR="001142B8" w:rsidRPr="00E30C58">
          <w:rPr>
            <w:rStyle w:val="Hypertextovodkaz"/>
            <w:rFonts w:cs="Arial"/>
            <w:noProof/>
          </w:rPr>
          <w:t xml:space="preserve">Tabulka č. 1: </w:t>
        </w:r>
        <w:r w:rsidR="001142B8" w:rsidRPr="00E30C58">
          <w:rPr>
            <w:rStyle w:val="Hypertextovodkaz"/>
            <w:rFonts w:cs="Arial"/>
            <w:i/>
            <w:noProof/>
          </w:rPr>
          <w:t>Bilance nízko a středněaktivních upravených odpadů splňujících podmínky přijatelnosti do přípovrchových úložišť (konzervativní odhad)</w:t>
        </w:r>
        <w:r w:rsidR="001142B8">
          <w:rPr>
            <w:noProof/>
            <w:webHidden/>
          </w:rPr>
          <w:tab/>
        </w:r>
        <w:r w:rsidR="001142B8">
          <w:rPr>
            <w:noProof/>
            <w:webHidden/>
          </w:rPr>
          <w:fldChar w:fldCharType="begin"/>
        </w:r>
        <w:r w:rsidR="001142B8">
          <w:rPr>
            <w:noProof/>
            <w:webHidden/>
          </w:rPr>
          <w:instrText xml:space="preserve"> PAGEREF _Toc420058305 \h </w:instrText>
        </w:r>
        <w:r w:rsidR="001142B8">
          <w:rPr>
            <w:noProof/>
            <w:webHidden/>
          </w:rPr>
        </w:r>
        <w:r w:rsidR="001142B8">
          <w:rPr>
            <w:noProof/>
            <w:webHidden/>
          </w:rPr>
          <w:fldChar w:fldCharType="separate"/>
        </w:r>
        <w:r w:rsidR="001142B8">
          <w:rPr>
            <w:noProof/>
            <w:webHidden/>
          </w:rPr>
          <w:t>25</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6" w:history="1">
        <w:r w:rsidR="001142B8" w:rsidRPr="00E30C58">
          <w:rPr>
            <w:rStyle w:val="Hypertextovodkaz"/>
            <w:rFonts w:cs="Arial"/>
            <w:noProof/>
          </w:rPr>
          <w:t xml:space="preserve">Tabulka č. 2: </w:t>
        </w:r>
        <w:r w:rsidR="001142B8" w:rsidRPr="00E30C58">
          <w:rPr>
            <w:rStyle w:val="Hypertextovodkaz"/>
            <w:rFonts w:cs="Arial"/>
            <w:i/>
            <w:noProof/>
          </w:rPr>
          <w:t>Bilance odpadů nepřijatelných do přípovrchových úložišť</w:t>
        </w:r>
        <w:r w:rsidR="001142B8">
          <w:rPr>
            <w:noProof/>
            <w:webHidden/>
          </w:rPr>
          <w:tab/>
        </w:r>
        <w:r w:rsidR="001142B8">
          <w:rPr>
            <w:noProof/>
            <w:webHidden/>
          </w:rPr>
          <w:fldChar w:fldCharType="begin"/>
        </w:r>
        <w:r w:rsidR="001142B8">
          <w:rPr>
            <w:noProof/>
            <w:webHidden/>
          </w:rPr>
          <w:instrText xml:space="preserve"> PAGEREF _Toc420058306 \h </w:instrText>
        </w:r>
        <w:r w:rsidR="001142B8">
          <w:rPr>
            <w:noProof/>
            <w:webHidden/>
          </w:rPr>
        </w:r>
        <w:r w:rsidR="001142B8">
          <w:rPr>
            <w:noProof/>
            <w:webHidden/>
          </w:rPr>
          <w:fldChar w:fldCharType="separate"/>
        </w:r>
        <w:r w:rsidR="001142B8">
          <w:rPr>
            <w:noProof/>
            <w:webHidden/>
          </w:rPr>
          <w:t>26</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7" w:history="1">
        <w:r w:rsidR="001142B8" w:rsidRPr="00E30C58">
          <w:rPr>
            <w:rStyle w:val="Hypertextovodkaz"/>
            <w:rFonts w:cs="Arial"/>
            <w:noProof/>
          </w:rPr>
          <w:t xml:space="preserve">Tabulka č. 3: </w:t>
        </w:r>
        <w:r w:rsidR="001142B8" w:rsidRPr="00E30C58">
          <w:rPr>
            <w:rStyle w:val="Hypertextovodkaz"/>
            <w:rFonts w:cs="Arial"/>
            <w:i/>
            <w:noProof/>
          </w:rPr>
          <w:t>Bilance VJP určeného k uložení do hlubinného úložiště</w:t>
        </w:r>
        <w:r w:rsidR="001142B8">
          <w:rPr>
            <w:noProof/>
            <w:webHidden/>
          </w:rPr>
          <w:tab/>
        </w:r>
        <w:r w:rsidR="001142B8">
          <w:rPr>
            <w:noProof/>
            <w:webHidden/>
          </w:rPr>
          <w:fldChar w:fldCharType="begin"/>
        </w:r>
        <w:r w:rsidR="001142B8">
          <w:rPr>
            <w:noProof/>
            <w:webHidden/>
          </w:rPr>
          <w:instrText xml:space="preserve"> PAGEREF _Toc420058307 \h </w:instrText>
        </w:r>
        <w:r w:rsidR="001142B8">
          <w:rPr>
            <w:noProof/>
            <w:webHidden/>
          </w:rPr>
        </w:r>
        <w:r w:rsidR="001142B8">
          <w:rPr>
            <w:noProof/>
            <w:webHidden/>
          </w:rPr>
          <w:fldChar w:fldCharType="separate"/>
        </w:r>
        <w:r w:rsidR="001142B8">
          <w:rPr>
            <w:noProof/>
            <w:webHidden/>
          </w:rPr>
          <w:t>26</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8" w:history="1">
        <w:r w:rsidR="001142B8" w:rsidRPr="00E30C58">
          <w:rPr>
            <w:rStyle w:val="Hypertextovodkaz"/>
            <w:rFonts w:cs="Arial"/>
            <w:noProof/>
          </w:rPr>
          <w:t xml:space="preserve">Tabulka č. 4: </w:t>
        </w:r>
        <w:r w:rsidR="001142B8" w:rsidRPr="00E30C58">
          <w:rPr>
            <w:rStyle w:val="Hypertextovodkaz"/>
            <w:rFonts w:cs="Arial"/>
            <w:i/>
            <w:noProof/>
          </w:rPr>
          <w:t>Přehled nákladů na ukládání nízko a středněaktivních odpadů</w:t>
        </w:r>
        <w:r w:rsidR="001142B8">
          <w:rPr>
            <w:noProof/>
            <w:webHidden/>
          </w:rPr>
          <w:tab/>
        </w:r>
        <w:r w:rsidR="001142B8">
          <w:rPr>
            <w:noProof/>
            <w:webHidden/>
          </w:rPr>
          <w:fldChar w:fldCharType="begin"/>
        </w:r>
        <w:r w:rsidR="001142B8">
          <w:rPr>
            <w:noProof/>
            <w:webHidden/>
          </w:rPr>
          <w:instrText xml:space="preserve"> PAGEREF _Toc420058308 \h </w:instrText>
        </w:r>
        <w:r w:rsidR="001142B8">
          <w:rPr>
            <w:noProof/>
            <w:webHidden/>
          </w:rPr>
        </w:r>
        <w:r w:rsidR="001142B8">
          <w:rPr>
            <w:noProof/>
            <w:webHidden/>
          </w:rPr>
          <w:fldChar w:fldCharType="separate"/>
        </w:r>
        <w:r w:rsidR="001142B8">
          <w:rPr>
            <w:noProof/>
            <w:webHidden/>
          </w:rPr>
          <w:t>30</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09" w:history="1">
        <w:r w:rsidR="001142B8" w:rsidRPr="00E30C58">
          <w:rPr>
            <w:rStyle w:val="Hypertextovodkaz"/>
            <w:rFonts w:cs="Arial"/>
            <w:noProof/>
          </w:rPr>
          <w:t xml:space="preserve">Tabulka č. 5: </w:t>
        </w:r>
        <w:r w:rsidR="001142B8" w:rsidRPr="00E30C58">
          <w:rPr>
            <w:rStyle w:val="Hypertextovodkaz"/>
            <w:rFonts w:cs="Arial"/>
            <w:i/>
            <w:noProof/>
          </w:rPr>
          <w:t>Odhad nákladů na HÚ</w:t>
        </w:r>
        <w:r w:rsidR="001142B8">
          <w:rPr>
            <w:noProof/>
            <w:webHidden/>
          </w:rPr>
          <w:tab/>
        </w:r>
        <w:r w:rsidR="001142B8">
          <w:rPr>
            <w:noProof/>
            <w:webHidden/>
          </w:rPr>
          <w:fldChar w:fldCharType="begin"/>
        </w:r>
        <w:r w:rsidR="001142B8">
          <w:rPr>
            <w:noProof/>
            <w:webHidden/>
          </w:rPr>
          <w:instrText xml:space="preserve"> PAGEREF _Toc420058309 \h </w:instrText>
        </w:r>
        <w:r w:rsidR="001142B8">
          <w:rPr>
            <w:noProof/>
            <w:webHidden/>
          </w:rPr>
        </w:r>
        <w:r w:rsidR="001142B8">
          <w:rPr>
            <w:noProof/>
            <w:webHidden/>
          </w:rPr>
          <w:fldChar w:fldCharType="separate"/>
        </w:r>
        <w:r w:rsidR="001142B8">
          <w:rPr>
            <w:noProof/>
            <w:webHidden/>
          </w:rPr>
          <w:t>30</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0" w:history="1">
        <w:r w:rsidR="001142B8" w:rsidRPr="00E30C58">
          <w:rPr>
            <w:rStyle w:val="Hypertextovodkaz"/>
            <w:noProof/>
          </w:rPr>
          <w:t xml:space="preserve">Tabulka č. 6: </w:t>
        </w:r>
        <w:r w:rsidR="001142B8" w:rsidRPr="00E30C58">
          <w:rPr>
            <w:rStyle w:val="Hypertextovodkaz"/>
            <w:i/>
            <w:noProof/>
          </w:rPr>
          <w:t>Přehled nákladů na vyřazování</w:t>
        </w:r>
        <w:r w:rsidR="001142B8">
          <w:rPr>
            <w:noProof/>
            <w:webHidden/>
          </w:rPr>
          <w:tab/>
        </w:r>
        <w:r w:rsidR="001142B8">
          <w:rPr>
            <w:noProof/>
            <w:webHidden/>
          </w:rPr>
          <w:fldChar w:fldCharType="begin"/>
        </w:r>
        <w:r w:rsidR="001142B8">
          <w:rPr>
            <w:noProof/>
            <w:webHidden/>
          </w:rPr>
          <w:instrText xml:space="preserve"> PAGEREF _Toc420058310 \h </w:instrText>
        </w:r>
        <w:r w:rsidR="001142B8">
          <w:rPr>
            <w:noProof/>
            <w:webHidden/>
          </w:rPr>
        </w:r>
        <w:r w:rsidR="001142B8">
          <w:rPr>
            <w:noProof/>
            <w:webHidden/>
          </w:rPr>
          <w:fldChar w:fldCharType="separate"/>
        </w:r>
        <w:r w:rsidR="001142B8">
          <w:rPr>
            <w:noProof/>
            <w:webHidden/>
          </w:rPr>
          <w:t>32</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1" w:history="1">
        <w:r w:rsidR="001142B8" w:rsidRPr="00E30C58">
          <w:rPr>
            <w:rStyle w:val="Hypertextovodkaz"/>
            <w:noProof/>
          </w:rPr>
          <w:t>Tabulka č. 7:</w:t>
        </w:r>
        <w:r w:rsidR="001142B8" w:rsidRPr="00E30C58">
          <w:rPr>
            <w:rStyle w:val="Hypertextovodkaz"/>
            <w:rFonts w:cs="Times New Roman"/>
            <w:i/>
            <w:noProof/>
          </w:rPr>
          <w:t xml:space="preserve"> Srovnání úpravy limitů odpovědnosti provozovatele v současné vnitrostátní legislativě České republiky a limitů požadovaných VÚ 1997</w:t>
        </w:r>
        <w:r w:rsidR="001142B8">
          <w:rPr>
            <w:noProof/>
            <w:webHidden/>
          </w:rPr>
          <w:tab/>
        </w:r>
        <w:r w:rsidR="001142B8">
          <w:rPr>
            <w:noProof/>
            <w:webHidden/>
          </w:rPr>
          <w:fldChar w:fldCharType="begin"/>
        </w:r>
        <w:r w:rsidR="001142B8">
          <w:rPr>
            <w:noProof/>
            <w:webHidden/>
          </w:rPr>
          <w:instrText xml:space="preserve"> PAGEREF _Toc420058311 \h </w:instrText>
        </w:r>
        <w:r w:rsidR="001142B8">
          <w:rPr>
            <w:noProof/>
            <w:webHidden/>
          </w:rPr>
        </w:r>
        <w:r w:rsidR="001142B8">
          <w:rPr>
            <w:noProof/>
            <w:webHidden/>
          </w:rPr>
          <w:fldChar w:fldCharType="separate"/>
        </w:r>
        <w:r w:rsidR="001142B8">
          <w:rPr>
            <w:noProof/>
            <w:webHidden/>
          </w:rPr>
          <w:t>39</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2" w:history="1">
        <w:r w:rsidR="001142B8" w:rsidRPr="00E30C58">
          <w:rPr>
            <w:rStyle w:val="Hypertextovodkaz"/>
            <w:rFonts w:cs="Times New Roman"/>
            <w:noProof/>
          </w:rPr>
          <w:t xml:space="preserve">Tabulka č. 8: </w:t>
        </w:r>
        <w:r w:rsidR="001142B8" w:rsidRPr="00E30C58">
          <w:rPr>
            <w:rStyle w:val="Hypertextovodkaz"/>
            <w:rFonts w:cs="Times New Roman"/>
            <w:i/>
            <w:noProof/>
          </w:rPr>
          <w:t>Příspěvky do druhého pilíře v případě participace současných smluvních států + Japonska a České republiky</w:t>
        </w:r>
        <w:r w:rsidR="001142B8">
          <w:rPr>
            <w:noProof/>
            <w:webHidden/>
          </w:rPr>
          <w:tab/>
        </w:r>
        <w:r w:rsidR="001142B8">
          <w:rPr>
            <w:noProof/>
            <w:webHidden/>
          </w:rPr>
          <w:fldChar w:fldCharType="begin"/>
        </w:r>
        <w:r w:rsidR="001142B8">
          <w:rPr>
            <w:noProof/>
            <w:webHidden/>
          </w:rPr>
          <w:instrText xml:space="preserve"> PAGEREF _Toc420058312 \h </w:instrText>
        </w:r>
        <w:r w:rsidR="001142B8">
          <w:rPr>
            <w:noProof/>
            <w:webHidden/>
          </w:rPr>
        </w:r>
        <w:r w:rsidR="001142B8">
          <w:rPr>
            <w:noProof/>
            <w:webHidden/>
          </w:rPr>
          <w:fldChar w:fldCharType="separate"/>
        </w:r>
        <w:r w:rsidR="001142B8">
          <w:rPr>
            <w:noProof/>
            <w:webHidden/>
          </w:rPr>
          <w:t>41</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3" w:history="1">
        <w:r w:rsidR="001142B8" w:rsidRPr="00E30C58">
          <w:rPr>
            <w:rStyle w:val="Hypertextovodkaz"/>
            <w:rFonts w:cs="Times New Roman"/>
            <w:noProof/>
          </w:rPr>
          <w:t xml:space="preserve">Tabulka č. 9: </w:t>
        </w:r>
        <w:r w:rsidR="001142B8" w:rsidRPr="00E30C58">
          <w:rPr>
            <w:rStyle w:val="Hypertextovodkaz"/>
            <w:rFonts w:cs="Times New Roman"/>
            <w:i/>
            <w:noProof/>
          </w:rPr>
          <w:t>Příspěvky do druhého pilíře v případě participace současných smluvních států + Japonska, Kanady a České republiky</w:t>
        </w:r>
        <w:r w:rsidR="001142B8">
          <w:rPr>
            <w:noProof/>
            <w:webHidden/>
          </w:rPr>
          <w:tab/>
        </w:r>
        <w:r w:rsidR="001142B8">
          <w:rPr>
            <w:noProof/>
            <w:webHidden/>
          </w:rPr>
          <w:fldChar w:fldCharType="begin"/>
        </w:r>
        <w:r w:rsidR="001142B8">
          <w:rPr>
            <w:noProof/>
            <w:webHidden/>
          </w:rPr>
          <w:instrText xml:space="preserve"> PAGEREF _Toc420058313 \h </w:instrText>
        </w:r>
        <w:r w:rsidR="001142B8">
          <w:rPr>
            <w:noProof/>
            <w:webHidden/>
          </w:rPr>
        </w:r>
        <w:r w:rsidR="001142B8">
          <w:rPr>
            <w:noProof/>
            <w:webHidden/>
          </w:rPr>
          <w:fldChar w:fldCharType="separate"/>
        </w:r>
        <w:r w:rsidR="001142B8">
          <w:rPr>
            <w:noProof/>
            <w:webHidden/>
          </w:rPr>
          <w:t>42</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4" w:history="1">
        <w:r w:rsidR="001142B8" w:rsidRPr="00E30C58">
          <w:rPr>
            <w:rStyle w:val="Hypertextovodkaz"/>
            <w:noProof/>
          </w:rPr>
          <w:t xml:space="preserve">Tabulka č. 10: </w:t>
        </w:r>
        <w:r w:rsidR="001142B8" w:rsidRPr="00E30C58">
          <w:rPr>
            <w:rStyle w:val="Hypertextovodkaz"/>
            <w:i/>
            <w:noProof/>
          </w:rPr>
          <w:t>Limity lokality (lokality Temelín)</w:t>
        </w:r>
        <w:r w:rsidR="001142B8">
          <w:rPr>
            <w:noProof/>
            <w:webHidden/>
          </w:rPr>
          <w:tab/>
        </w:r>
        <w:r w:rsidR="001142B8">
          <w:rPr>
            <w:noProof/>
            <w:webHidden/>
          </w:rPr>
          <w:fldChar w:fldCharType="begin"/>
        </w:r>
        <w:r w:rsidR="001142B8">
          <w:rPr>
            <w:noProof/>
            <w:webHidden/>
          </w:rPr>
          <w:instrText xml:space="preserve"> PAGEREF _Toc420058314 \h </w:instrText>
        </w:r>
        <w:r w:rsidR="001142B8">
          <w:rPr>
            <w:noProof/>
            <w:webHidden/>
          </w:rPr>
        </w:r>
        <w:r w:rsidR="001142B8">
          <w:rPr>
            <w:noProof/>
            <w:webHidden/>
          </w:rPr>
          <w:fldChar w:fldCharType="separate"/>
        </w:r>
        <w:r w:rsidR="001142B8">
          <w:rPr>
            <w:noProof/>
            <w:webHidden/>
          </w:rPr>
          <w:t>48</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5" w:history="1">
        <w:r w:rsidR="001142B8" w:rsidRPr="00E30C58">
          <w:rPr>
            <w:rStyle w:val="Hypertextovodkaz"/>
            <w:noProof/>
          </w:rPr>
          <w:t xml:space="preserve">Tabulka č. 11: </w:t>
        </w:r>
        <w:r w:rsidR="001142B8" w:rsidRPr="00E30C58">
          <w:rPr>
            <w:rStyle w:val="Hypertextovodkaz"/>
            <w:i/>
            <w:noProof/>
          </w:rPr>
          <w:t>Limity lokality (lokalita Dukovany)</w:t>
        </w:r>
        <w:r w:rsidR="001142B8">
          <w:rPr>
            <w:noProof/>
            <w:webHidden/>
          </w:rPr>
          <w:tab/>
        </w:r>
        <w:r w:rsidR="001142B8">
          <w:rPr>
            <w:noProof/>
            <w:webHidden/>
          </w:rPr>
          <w:fldChar w:fldCharType="begin"/>
        </w:r>
        <w:r w:rsidR="001142B8">
          <w:rPr>
            <w:noProof/>
            <w:webHidden/>
          </w:rPr>
          <w:instrText xml:space="preserve"> PAGEREF _Toc420058315 \h </w:instrText>
        </w:r>
        <w:r w:rsidR="001142B8">
          <w:rPr>
            <w:noProof/>
            <w:webHidden/>
          </w:rPr>
        </w:r>
        <w:r w:rsidR="001142B8">
          <w:rPr>
            <w:noProof/>
            <w:webHidden/>
          </w:rPr>
          <w:fldChar w:fldCharType="separate"/>
        </w:r>
        <w:r w:rsidR="001142B8">
          <w:rPr>
            <w:noProof/>
            <w:webHidden/>
          </w:rPr>
          <w:t>50</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6" w:history="1">
        <w:r w:rsidR="001142B8" w:rsidRPr="00E30C58">
          <w:rPr>
            <w:rStyle w:val="Hypertextovodkaz"/>
            <w:noProof/>
          </w:rPr>
          <w:t xml:space="preserve">Tabulka č. 12: </w:t>
        </w:r>
        <w:r w:rsidR="001142B8" w:rsidRPr="00E30C58">
          <w:rPr>
            <w:rStyle w:val="Hypertextovodkaz"/>
            <w:i/>
            <w:noProof/>
          </w:rPr>
          <w:t>SWOT analýza – první varianta investičního modelu</w:t>
        </w:r>
        <w:r w:rsidR="001142B8">
          <w:rPr>
            <w:noProof/>
            <w:webHidden/>
          </w:rPr>
          <w:tab/>
        </w:r>
        <w:r w:rsidR="001142B8">
          <w:rPr>
            <w:noProof/>
            <w:webHidden/>
          </w:rPr>
          <w:fldChar w:fldCharType="begin"/>
        </w:r>
        <w:r w:rsidR="001142B8">
          <w:rPr>
            <w:noProof/>
            <w:webHidden/>
          </w:rPr>
          <w:instrText xml:space="preserve"> PAGEREF _Toc420058316 \h </w:instrText>
        </w:r>
        <w:r w:rsidR="001142B8">
          <w:rPr>
            <w:noProof/>
            <w:webHidden/>
          </w:rPr>
        </w:r>
        <w:r w:rsidR="001142B8">
          <w:rPr>
            <w:noProof/>
            <w:webHidden/>
          </w:rPr>
          <w:fldChar w:fldCharType="separate"/>
        </w:r>
        <w:r w:rsidR="001142B8">
          <w:rPr>
            <w:noProof/>
            <w:webHidden/>
          </w:rPr>
          <w:t>62</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7" w:history="1">
        <w:r w:rsidR="001142B8" w:rsidRPr="00E30C58">
          <w:rPr>
            <w:rStyle w:val="Hypertextovodkaz"/>
            <w:noProof/>
          </w:rPr>
          <w:t xml:space="preserve">Tabulka č. 13: </w:t>
        </w:r>
        <w:r w:rsidR="001142B8" w:rsidRPr="00E30C58">
          <w:rPr>
            <w:rStyle w:val="Hypertextovodkaz"/>
            <w:i/>
            <w:noProof/>
          </w:rPr>
          <w:t>SWOT analýza – druhá varianta investičního modelu</w:t>
        </w:r>
        <w:r w:rsidR="001142B8">
          <w:rPr>
            <w:noProof/>
            <w:webHidden/>
          </w:rPr>
          <w:tab/>
        </w:r>
        <w:r w:rsidR="001142B8">
          <w:rPr>
            <w:noProof/>
            <w:webHidden/>
          </w:rPr>
          <w:fldChar w:fldCharType="begin"/>
        </w:r>
        <w:r w:rsidR="001142B8">
          <w:rPr>
            <w:noProof/>
            <w:webHidden/>
          </w:rPr>
          <w:instrText xml:space="preserve"> PAGEREF _Toc420058317 \h </w:instrText>
        </w:r>
        <w:r w:rsidR="001142B8">
          <w:rPr>
            <w:noProof/>
            <w:webHidden/>
          </w:rPr>
        </w:r>
        <w:r w:rsidR="001142B8">
          <w:rPr>
            <w:noProof/>
            <w:webHidden/>
          </w:rPr>
          <w:fldChar w:fldCharType="separate"/>
        </w:r>
        <w:r w:rsidR="001142B8">
          <w:rPr>
            <w:noProof/>
            <w:webHidden/>
          </w:rPr>
          <w:t>63</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8" w:history="1">
        <w:r w:rsidR="001142B8" w:rsidRPr="00E30C58">
          <w:rPr>
            <w:rStyle w:val="Hypertextovodkaz"/>
            <w:noProof/>
          </w:rPr>
          <w:t xml:space="preserve">Tabulka č. 14: </w:t>
        </w:r>
        <w:r w:rsidR="001142B8" w:rsidRPr="00E30C58">
          <w:rPr>
            <w:rStyle w:val="Hypertextovodkaz"/>
            <w:i/>
            <w:noProof/>
          </w:rPr>
          <w:t>SWOT analýza – třetí varianta investičního modelu</w:t>
        </w:r>
        <w:r w:rsidR="001142B8">
          <w:rPr>
            <w:noProof/>
            <w:webHidden/>
          </w:rPr>
          <w:tab/>
        </w:r>
        <w:r w:rsidR="001142B8">
          <w:rPr>
            <w:noProof/>
            <w:webHidden/>
          </w:rPr>
          <w:fldChar w:fldCharType="begin"/>
        </w:r>
        <w:r w:rsidR="001142B8">
          <w:rPr>
            <w:noProof/>
            <w:webHidden/>
          </w:rPr>
          <w:instrText xml:space="preserve"> PAGEREF _Toc420058318 \h </w:instrText>
        </w:r>
        <w:r w:rsidR="001142B8">
          <w:rPr>
            <w:noProof/>
            <w:webHidden/>
          </w:rPr>
        </w:r>
        <w:r w:rsidR="001142B8">
          <w:rPr>
            <w:noProof/>
            <w:webHidden/>
          </w:rPr>
          <w:fldChar w:fldCharType="separate"/>
        </w:r>
        <w:r w:rsidR="001142B8">
          <w:rPr>
            <w:noProof/>
            <w:webHidden/>
          </w:rPr>
          <w:t>64</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19" w:history="1">
        <w:r w:rsidR="001142B8" w:rsidRPr="00E30C58">
          <w:rPr>
            <w:rStyle w:val="Hypertextovodkaz"/>
            <w:noProof/>
          </w:rPr>
          <w:t xml:space="preserve">Tabulka č. 15: </w:t>
        </w:r>
        <w:r w:rsidR="001142B8" w:rsidRPr="00E30C58">
          <w:rPr>
            <w:rStyle w:val="Hypertextovodkaz"/>
            <w:i/>
            <w:noProof/>
          </w:rPr>
          <w:t>Orientační harmonogram výstavby nového zdroje (na základě platné legislativy)</w:t>
        </w:r>
        <w:r w:rsidR="001142B8">
          <w:rPr>
            <w:noProof/>
            <w:webHidden/>
          </w:rPr>
          <w:tab/>
        </w:r>
        <w:r w:rsidR="001142B8">
          <w:rPr>
            <w:noProof/>
            <w:webHidden/>
          </w:rPr>
          <w:fldChar w:fldCharType="begin"/>
        </w:r>
        <w:r w:rsidR="001142B8">
          <w:rPr>
            <w:noProof/>
            <w:webHidden/>
          </w:rPr>
          <w:instrText xml:space="preserve"> PAGEREF _Toc420058319 \h </w:instrText>
        </w:r>
        <w:r w:rsidR="001142B8">
          <w:rPr>
            <w:noProof/>
            <w:webHidden/>
          </w:rPr>
        </w:r>
        <w:r w:rsidR="001142B8">
          <w:rPr>
            <w:noProof/>
            <w:webHidden/>
          </w:rPr>
          <w:fldChar w:fldCharType="separate"/>
        </w:r>
        <w:r w:rsidR="001142B8">
          <w:rPr>
            <w:noProof/>
            <w:webHidden/>
          </w:rPr>
          <w:t>68</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0" w:history="1">
        <w:r w:rsidR="001142B8" w:rsidRPr="00E30C58">
          <w:rPr>
            <w:rStyle w:val="Hypertextovodkaz"/>
            <w:noProof/>
          </w:rPr>
          <w:t xml:space="preserve">Tabulka č. 16: </w:t>
        </w:r>
        <w:r w:rsidR="001142B8" w:rsidRPr="00E30C58">
          <w:rPr>
            <w:rStyle w:val="Hypertextovodkaz"/>
            <w:rFonts w:cs="Arial"/>
            <w:i/>
            <w:noProof/>
          </w:rPr>
          <w:t>Náklady financování</w:t>
        </w:r>
        <w:r w:rsidR="001142B8">
          <w:rPr>
            <w:noProof/>
            <w:webHidden/>
          </w:rPr>
          <w:tab/>
        </w:r>
        <w:r w:rsidR="001142B8">
          <w:rPr>
            <w:noProof/>
            <w:webHidden/>
          </w:rPr>
          <w:fldChar w:fldCharType="begin"/>
        </w:r>
        <w:r w:rsidR="001142B8">
          <w:rPr>
            <w:noProof/>
            <w:webHidden/>
          </w:rPr>
          <w:instrText xml:space="preserve"> PAGEREF _Toc420058320 \h </w:instrText>
        </w:r>
        <w:r w:rsidR="001142B8">
          <w:rPr>
            <w:noProof/>
            <w:webHidden/>
          </w:rPr>
        </w:r>
        <w:r w:rsidR="001142B8">
          <w:rPr>
            <w:noProof/>
            <w:webHidden/>
          </w:rPr>
          <w:fldChar w:fldCharType="separate"/>
        </w:r>
        <w:r w:rsidR="001142B8">
          <w:rPr>
            <w:noProof/>
            <w:webHidden/>
          </w:rPr>
          <w:t>71</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1" w:history="1">
        <w:r w:rsidR="001142B8" w:rsidRPr="00E30C58">
          <w:rPr>
            <w:rStyle w:val="Hypertextovodkaz"/>
            <w:noProof/>
          </w:rPr>
          <w:t xml:space="preserve">Tabulka č. 17: </w:t>
        </w:r>
        <w:r w:rsidR="001142B8" w:rsidRPr="00E30C58">
          <w:rPr>
            <w:rStyle w:val="Hypertextovodkaz"/>
            <w:rFonts w:cs="Arial"/>
            <w:i/>
            <w:noProof/>
          </w:rPr>
          <w:t>Varianty financování a garance návratnosti</w:t>
        </w:r>
        <w:r w:rsidR="001142B8">
          <w:rPr>
            <w:noProof/>
            <w:webHidden/>
          </w:rPr>
          <w:tab/>
        </w:r>
        <w:r w:rsidR="001142B8">
          <w:rPr>
            <w:noProof/>
            <w:webHidden/>
          </w:rPr>
          <w:fldChar w:fldCharType="begin"/>
        </w:r>
        <w:r w:rsidR="001142B8">
          <w:rPr>
            <w:noProof/>
            <w:webHidden/>
          </w:rPr>
          <w:instrText xml:space="preserve"> PAGEREF _Toc420058321 \h </w:instrText>
        </w:r>
        <w:r w:rsidR="001142B8">
          <w:rPr>
            <w:noProof/>
            <w:webHidden/>
          </w:rPr>
        </w:r>
        <w:r w:rsidR="001142B8">
          <w:rPr>
            <w:noProof/>
            <w:webHidden/>
          </w:rPr>
          <w:fldChar w:fldCharType="separate"/>
        </w:r>
        <w:r w:rsidR="001142B8">
          <w:rPr>
            <w:noProof/>
            <w:webHidden/>
          </w:rPr>
          <w:t>72</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2" w:history="1">
        <w:r w:rsidR="001142B8" w:rsidRPr="00E30C58">
          <w:rPr>
            <w:rStyle w:val="Hypertextovodkaz"/>
            <w:noProof/>
          </w:rPr>
          <w:t xml:space="preserve">Tabulka č. 18: </w:t>
        </w:r>
        <w:r w:rsidR="001142B8" w:rsidRPr="00E30C58">
          <w:rPr>
            <w:rStyle w:val="Hypertextovodkaz"/>
            <w:rFonts w:cs="Arial"/>
            <w:i/>
            <w:noProof/>
          </w:rPr>
          <w:t>Roční dopad na zákazníka</w:t>
        </w:r>
        <w:r w:rsidR="001142B8">
          <w:rPr>
            <w:noProof/>
            <w:webHidden/>
          </w:rPr>
          <w:tab/>
        </w:r>
        <w:r w:rsidR="001142B8">
          <w:rPr>
            <w:noProof/>
            <w:webHidden/>
          </w:rPr>
          <w:fldChar w:fldCharType="begin"/>
        </w:r>
        <w:r w:rsidR="001142B8">
          <w:rPr>
            <w:noProof/>
            <w:webHidden/>
          </w:rPr>
          <w:instrText xml:space="preserve"> PAGEREF _Toc420058322 \h </w:instrText>
        </w:r>
        <w:r w:rsidR="001142B8">
          <w:rPr>
            <w:noProof/>
            <w:webHidden/>
          </w:rPr>
        </w:r>
        <w:r w:rsidR="001142B8">
          <w:rPr>
            <w:noProof/>
            <w:webHidden/>
          </w:rPr>
          <w:fldChar w:fldCharType="separate"/>
        </w:r>
        <w:r w:rsidR="001142B8">
          <w:rPr>
            <w:noProof/>
            <w:webHidden/>
          </w:rPr>
          <w:t>73</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3" w:history="1">
        <w:r w:rsidR="001142B8" w:rsidRPr="00E30C58">
          <w:rPr>
            <w:rStyle w:val="Hypertextovodkaz"/>
            <w:noProof/>
          </w:rPr>
          <w:t xml:space="preserve">Tabulka č. 19: </w:t>
        </w:r>
        <w:r w:rsidR="001142B8" w:rsidRPr="00E30C58">
          <w:rPr>
            <w:rStyle w:val="Hypertextovodkaz"/>
            <w:rFonts w:cs="Arial"/>
            <w:i/>
            <w:noProof/>
          </w:rPr>
          <w:t>Odhad dopadu na zákazníka v rámci konečné ceny (varianta 1)</w:t>
        </w:r>
        <w:r w:rsidR="001142B8">
          <w:rPr>
            <w:noProof/>
            <w:webHidden/>
          </w:rPr>
          <w:tab/>
        </w:r>
        <w:r w:rsidR="001142B8">
          <w:rPr>
            <w:noProof/>
            <w:webHidden/>
          </w:rPr>
          <w:fldChar w:fldCharType="begin"/>
        </w:r>
        <w:r w:rsidR="001142B8">
          <w:rPr>
            <w:noProof/>
            <w:webHidden/>
          </w:rPr>
          <w:instrText xml:space="preserve"> PAGEREF _Toc420058323 \h </w:instrText>
        </w:r>
        <w:r w:rsidR="001142B8">
          <w:rPr>
            <w:noProof/>
            <w:webHidden/>
          </w:rPr>
        </w:r>
        <w:r w:rsidR="001142B8">
          <w:rPr>
            <w:noProof/>
            <w:webHidden/>
          </w:rPr>
          <w:fldChar w:fldCharType="separate"/>
        </w:r>
        <w:r w:rsidR="001142B8">
          <w:rPr>
            <w:noProof/>
            <w:webHidden/>
          </w:rPr>
          <w:t>74</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4" w:history="1">
        <w:r w:rsidR="001142B8" w:rsidRPr="00E30C58">
          <w:rPr>
            <w:rStyle w:val="Hypertextovodkaz"/>
            <w:noProof/>
          </w:rPr>
          <w:t xml:space="preserve">Tabulka č. 20: </w:t>
        </w:r>
        <w:r w:rsidR="001142B8" w:rsidRPr="00E30C58">
          <w:rPr>
            <w:rStyle w:val="Hypertextovodkaz"/>
            <w:rFonts w:cs="Arial"/>
            <w:i/>
            <w:noProof/>
          </w:rPr>
          <w:t>Odhad dopadu na zákazníka v rámci konečné ceny (varianta 2)</w:t>
        </w:r>
        <w:r w:rsidR="001142B8">
          <w:rPr>
            <w:noProof/>
            <w:webHidden/>
          </w:rPr>
          <w:tab/>
        </w:r>
        <w:r w:rsidR="001142B8">
          <w:rPr>
            <w:noProof/>
            <w:webHidden/>
          </w:rPr>
          <w:fldChar w:fldCharType="begin"/>
        </w:r>
        <w:r w:rsidR="001142B8">
          <w:rPr>
            <w:noProof/>
            <w:webHidden/>
          </w:rPr>
          <w:instrText xml:space="preserve"> PAGEREF _Toc420058324 \h </w:instrText>
        </w:r>
        <w:r w:rsidR="001142B8">
          <w:rPr>
            <w:noProof/>
            <w:webHidden/>
          </w:rPr>
        </w:r>
        <w:r w:rsidR="001142B8">
          <w:rPr>
            <w:noProof/>
            <w:webHidden/>
          </w:rPr>
          <w:fldChar w:fldCharType="separate"/>
        </w:r>
        <w:r w:rsidR="001142B8">
          <w:rPr>
            <w:noProof/>
            <w:webHidden/>
          </w:rPr>
          <w:t>74</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5" w:history="1">
        <w:r w:rsidR="001142B8" w:rsidRPr="00E30C58">
          <w:rPr>
            <w:rStyle w:val="Hypertextovodkaz"/>
            <w:noProof/>
          </w:rPr>
          <w:t xml:space="preserve">Tabulka č. 21: </w:t>
        </w:r>
        <w:r w:rsidR="001142B8" w:rsidRPr="00E30C58">
          <w:rPr>
            <w:rStyle w:val="Hypertextovodkaz"/>
            <w:rFonts w:cs="Arial"/>
            <w:i/>
            <w:noProof/>
          </w:rPr>
          <w:t>Odhad dopadu na zákazníka v rámci konečné ceny (varianta 3)</w:t>
        </w:r>
        <w:r w:rsidR="001142B8">
          <w:rPr>
            <w:noProof/>
            <w:webHidden/>
          </w:rPr>
          <w:tab/>
        </w:r>
        <w:r w:rsidR="001142B8">
          <w:rPr>
            <w:noProof/>
            <w:webHidden/>
          </w:rPr>
          <w:fldChar w:fldCharType="begin"/>
        </w:r>
        <w:r w:rsidR="001142B8">
          <w:rPr>
            <w:noProof/>
            <w:webHidden/>
          </w:rPr>
          <w:instrText xml:space="preserve"> PAGEREF _Toc420058325 \h </w:instrText>
        </w:r>
        <w:r w:rsidR="001142B8">
          <w:rPr>
            <w:noProof/>
            <w:webHidden/>
          </w:rPr>
        </w:r>
        <w:r w:rsidR="001142B8">
          <w:rPr>
            <w:noProof/>
            <w:webHidden/>
          </w:rPr>
          <w:fldChar w:fldCharType="separate"/>
        </w:r>
        <w:r w:rsidR="001142B8">
          <w:rPr>
            <w:noProof/>
            <w:webHidden/>
          </w:rPr>
          <w:t>75</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6" w:history="1">
        <w:r w:rsidR="001142B8" w:rsidRPr="00E30C58">
          <w:rPr>
            <w:rStyle w:val="Hypertextovodkaz"/>
            <w:noProof/>
          </w:rPr>
          <w:t xml:space="preserve">Tabulka č. 22: </w:t>
        </w:r>
        <w:r w:rsidR="001142B8" w:rsidRPr="00E30C58">
          <w:rPr>
            <w:rStyle w:val="Hypertextovodkaz"/>
            <w:rFonts w:cs="Arial"/>
            <w:i/>
            <w:noProof/>
          </w:rPr>
          <w:t>Odhad dopadu na zákazníka v rámci konečné ceny (varianta 4)</w:t>
        </w:r>
        <w:r w:rsidR="001142B8">
          <w:rPr>
            <w:noProof/>
            <w:webHidden/>
          </w:rPr>
          <w:tab/>
        </w:r>
        <w:r w:rsidR="001142B8">
          <w:rPr>
            <w:noProof/>
            <w:webHidden/>
          </w:rPr>
          <w:fldChar w:fldCharType="begin"/>
        </w:r>
        <w:r w:rsidR="001142B8">
          <w:rPr>
            <w:noProof/>
            <w:webHidden/>
          </w:rPr>
          <w:instrText xml:space="preserve"> PAGEREF _Toc420058326 \h </w:instrText>
        </w:r>
        <w:r w:rsidR="001142B8">
          <w:rPr>
            <w:noProof/>
            <w:webHidden/>
          </w:rPr>
        </w:r>
        <w:r w:rsidR="001142B8">
          <w:rPr>
            <w:noProof/>
            <w:webHidden/>
          </w:rPr>
          <w:fldChar w:fldCharType="separate"/>
        </w:r>
        <w:r w:rsidR="001142B8">
          <w:rPr>
            <w:noProof/>
            <w:webHidden/>
          </w:rPr>
          <w:t>75</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7" w:history="1">
        <w:r w:rsidR="001142B8" w:rsidRPr="00E30C58">
          <w:rPr>
            <w:rStyle w:val="Hypertextovodkaz"/>
            <w:noProof/>
          </w:rPr>
          <w:t xml:space="preserve">Tabulka č. 23: </w:t>
        </w:r>
        <w:r w:rsidR="001142B8" w:rsidRPr="00E30C58">
          <w:rPr>
            <w:rStyle w:val="Hypertextovodkaz"/>
            <w:rFonts w:cs="Arial"/>
            <w:i/>
            <w:noProof/>
          </w:rPr>
          <w:t>Roční dopad na rozpočet</w:t>
        </w:r>
        <w:r w:rsidR="001142B8">
          <w:rPr>
            <w:noProof/>
            <w:webHidden/>
          </w:rPr>
          <w:tab/>
        </w:r>
        <w:r w:rsidR="001142B8">
          <w:rPr>
            <w:noProof/>
            <w:webHidden/>
          </w:rPr>
          <w:fldChar w:fldCharType="begin"/>
        </w:r>
        <w:r w:rsidR="001142B8">
          <w:rPr>
            <w:noProof/>
            <w:webHidden/>
          </w:rPr>
          <w:instrText xml:space="preserve"> PAGEREF _Toc420058327 \h </w:instrText>
        </w:r>
        <w:r w:rsidR="001142B8">
          <w:rPr>
            <w:noProof/>
            <w:webHidden/>
          </w:rPr>
        </w:r>
        <w:r w:rsidR="001142B8">
          <w:rPr>
            <w:noProof/>
            <w:webHidden/>
          </w:rPr>
          <w:fldChar w:fldCharType="separate"/>
        </w:r>
        <w:r w:rsidR="001142B8">
          <w:rPr>
            <w:noProof/>
            <w:webHidden/>
          </w:rPr>
          <w:t>76</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8" w:history="1">
        <w:r w:rsidR="001142B8" w:rsidRPr="00E30C58">
          <w:rPr>
            <w:rStyle w:val="Hypertextovodkaz"/>
            <w:noProof/>
          </w:rPr>
          <w:t xml:space="preserve">Tabulka č. 24: </w:t>
        </w:r>
        <w:r w:rsidR="001142B8" w:rsidRPr="00E30C58">
          <w:rPr>
            <w:rStyle w:val="Hypertextovodkaz"/>
            <w:i/>
            <w:noProof/>
          </w:rPr>
          <w:t>Limitní náklady vynakládané od 01/2015 do  jednotlivých dílčích milníků projektu</w:t>
        </w:r>
        <w:r w:rsidR="001142B8">
          <w:rPr>
            <w:noProof/>
            <w:webHidden/>
          </w:rPr>
          <w:tab/>
        </w:r>
        <w:r w:rsidR="001142B8">
          <w:rPr>
            <w:noProof/>
            <w:webHidden/>
          </w:rPr>
          <w:fldChar w:fldCharType="begin"/>
        </w:r>
        <w:r w:rsidR="001142B8">
          <w:rPr>
            <w:noProof/>
            <w:webHidden/>
          </w:rPr>
          <w:instrText xml:space="preserve"> PAGEREF _Toc420058328 \h </w:instrText>
        </w:r>
        <w:r w:rsidR="001142B8">
          <w:rPr>
            <w:noProof/>
            <w:webHidden/>
          </w:rPr>
        </w:r>
        <w:r w:rsidR="001142B8">
          <w:rPr>
            <w:noProof/>
            <w:webHidden/>
          </w:rPr>
          <w:fldChar w:fldCharType="separate"/>
        </w:r>
        <w:r w:rsidR="001142B8">
          <w:rPr>
            <w:noProof/>
            <w:webHidden/>
          </w:rPr>
          <w:t>77</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29" w:history="1">
        <w:r w:rsidR="001142B8" w:rsidRPr="00E30C58">
          <w:rPr>
            <w:rStyle w:val="Hypertextovodkaz"/>
            <w:noProof/>
          </w:rPr>
          <w:t xml:space="preserve">Tabulka č. 25: </w:t>
        </w:r>
        <w:r w:rsidR="001142B8" w:rsidRPr="00E30C58">
          <w:rPr>
            <w:rStyle w:val="Hypertextovodkaz"/>
            <w:i/>
            <w:noProof/>
          </w:rPr>
          <w:t>Klíčové úkoly pro nejbližší období (pro rok 2015) - 1. část</w:t>
        </w:r>
        <w:r w:rsidR="001142B8">
          <w:rPr>
            <w:noProof/>
            <w:webHidden/>
          </w:rPr>
          <w:tab/>
        </w:r>
        <w:r w:rsidR="001142B8">
          <w:rPr>
            <w:noProof/>
            <w:webHidden/>
          </w:rPr>
          <w:fldChar w:fldCharType="begin"/>
        </w:r>
        <w:r w:rsidR="001142B8">
          <w:rPr>
            <w:noProof/>
            <w:webHidden/>
          </w:rPr>
          <w:instrText xml:space="preserve"> PAGEREF _Toc420058329 \h </w:instrText>
        </w:r>
        <w:r w:rsidR="001142B8">
          <w:rPr>
            <w:noProof/>
            <w:webHidden/>
          </w:rPr>
        </w:r>
        <w:r w:rsidR="001142B8">
          <w:rPr>
            <w:noProof/>
            <w:webHidden/>
          </w:rPr>
          <w:fldChar w:fldCharType="separate"/>
        </w:r>
        <w:r w:rsidR="001142B8">
          <w:rPr>
            <w:noProof/>
            <w:webHidden/>
          </w:rPr>
          <w:t>96</w:t>
        </w:r>
        <w:r w:rsidR="001142B8">
          <w:rPr>
            <w:noProof/>
            <w:webHidden/>
          </w:rPr>
          <w:fldChar w:fldCharType="end"/>
        </w:r>
      </w:hyperlink>
    </w:p>
    <w:p w:rsidR="001142B8" w:rsidRDefault="005D04F6">
      <w:pPr>
        <w:pStyle w:val="Seznamobrzk"/>
        <w:tabs>
          <w:tab w:val="right" w:leader="dot" w:pos="9062"/>
        </w:tabs>
        <w:rPr>
          <w:rFonts w:eastAsiaTheme="minorEastAsia"/>
          <w:noProof/>
          <w:lang w:eastAsia="cs-CZ"/>
        </w:rPr>
      </w:pPr>
      <w:hyperlink w:anchor="_Toc420058330" w:history="1">
        <w:r w:rsidR="001142B8" w:rsidRPr="00E30C58">
          <w:rPr>
            <w:rStyle w:val="Hypertextovodkaz"/>
            <w:noProof/>
          </w:rPr>
          <w:t xml:space="preserve">Tabulka č. 26: </w:t>
        </w:r>
        <w:r w:rsidR="001142B8" w:rsidRPr="00E30C58">
          <w:rPr>
            <w:rStyle w:val="Hypertextovodkaz"/>
            <w:i/>
            <w:noProof/>
          </w:rPr>
          <w:t>Klíčové úkoly pro nejbližší období (pro rok 2015) - 2. část</w:t>
        </w:r>
        <w:r w:rsidR="001142B8">
          <w:rPr>
            <w:noProof/>
            <w:webHidden/>
          </w:rPr>
          <w:tab/>
        </w:r>
        <w:r w:rsidR="001142B8">
          <w:rPr>
            <w:noProof/>
            <w:webHidden/>
          </w:rPr>
          <w:fldChar w:fldCharType="begin"/>
        </w:r>
        <w:r w:rsidR="001142B8">
          <w:rPr>
            <w:noProof/>
            <w:webHidden/>
          </w:rPr>
          <w:instrText xml:space="preserve"> PAGEREF _Toc420058330 \h </w:instrText>
        </w:r>
        <w:r w:rsidR="001142B8">
          <w:rPr>
            <w:noProof/>
            <w:webHidden/>
          </w:rPr>
        </w:r>
        <w:r w:rsidR="001142B8">
          <w:rPr>
            <w:noProof/>
            <w:webHidden/>
          </w:rPr>
          <w:fldChar w:fldCharType="separate"/>
        </w:r>
        <w:r w:rsidR="001142B8">
          <w:rPr>
            <w:noProof/>
            <w:webHidden/>
          </w:rPr>
          <w:t>97</w:t>
        </w:r>
        <w:r w:rsidR="001142B8">
          <w:rPr>
            <w:noProof/>
            <w:webHidden/>
          </w:rPr>
          <w:fldChar w:fldCharType="end"/>
        </w:r>
      </w:hyperlink>
    </w:p>
    <w:p w:rsidR="001142B8" w:rsidRDefault="00A9339D" w:rsidP="00A9339D">
      <w:pPr>
        <w:pStyle w:val="Podnzev"/>
        <w:rPr>
          <w:noProof/>
        </w:rPr>
      </w:pPr>
      <w:r>
        <w:rPr>
          <w:rFonts w:asciiTheme="minorHAnsi" w:eastAsiaTheme="minorHAnsi" w:hAnsiTheme="minorHAnsi" w:cstheme="minorBidi"/>
          <w:i/>
          <w:iCs/>
          <w:smallCaps w:val="0"/>
          <w:color w:val="auto"/>
          <w:sz w:val="22"/>
          <w:szCs w:val="22"/>
          <w:lang w:val="cs-CZ" w:eastAsia="en-US"/>
        </w:rPr>
        <w:fldChar w:fldCharType="end"/>
      </w:r>
      <w:r w:rsidR="00455353" w:rsidRPr="00455353">
        <w:rPr>
          <w:rFonts w:asciiTheme="minorHAnsi" w:eastAsiaTheme="minorHAnsi" w:hAnsiTheme="minorHAnsi" w:cstheme="minorBidi"/>
          <w:b/>
          <w:iCs/>
          <w:smallCaps w:val="0"/>
          <w:color w:val="auto"/>
          <w:sz w:val="22"/>
          <w:szCs w:val="22"/>
          <w:lang w:val="cs-CZ" w:eastAsia="en-US"/>
        </w:rPr>
        <w:t>Seznam obrázků</w:t>
      </w:r>
      <w:r w:rsidR="00455353">
        <w:rPr>
          <w:rFonts w:asciiTheme="minorHAnsi" w:eastAsiaTheme="minorHAnsi" w:hAnsiTheme="minorHAnsi" w:cstheme="minorBidi"/>
          <w:b/>
          <w:iCs/>
          <w:smallCaps w:val="0"/>
          <w:color w:val="auto"/>
          <w:sz w:val="22"/>
          <w:szCs w:val="22"/>
          <w:lang w:val="cs-CZ" w:eastAsia="en-US"/>
        </w:rPr>
        <w:fldChar w:fldCharType="begin"/>
      </w:r>
      <w:r w:rsidR="00455353" w:rsidRPr="00455353">
        <w:rPr>
          <w:rFonts w:asciiTheme="minorHAnsi" w:eastAsiaTheme="minorHAnsi" w:hAnsiTheme="minorHAnsi" w:cstheme="minorBidi"/>
          <w:b/>
          <w:iCs/>
          <w:smallCaps w:val="0"/>
          <w:color w:val="auto"/>
          <w:sz w:val="22"/>
          <w:szCs w:val="22"/>
          <w:lang w:val="cs-CZ" w:eastAsia="en-US"/>
        </w:rPr>
        <w:instrText xml:space="preserve"> TOC \h \z \c "Obrázek č." </w:instrText>
      </w:r>
      <w:r w:rsidR="00455353">
        <w:rPr>
          <w:rFonts w:asciiTheme="minorHAnsi" w:eastAsiaTheme="minorHAnsi" w:hAnsiTheme="minorHAnsi" w:cstheme="minorBidi"/>
          <w:b/>
          <w:iCs/>
          <w:smallCaps w:val="0"/>
          <w:color w:val="auto"/>
          <w:sz w:val="22"/>
          <w:szCs w:val="22"/>
          <w:lang w:val="cs-CZ" w:eastAsia="en-US"/>
        </w:rPr>
        <w:fldChar w:fldCharType="separate"/>
      </w:r>
    </w:p>
    <w:p w:rsidR="001142B8" w:rsidRDefault="001142B8">
      <w:pPr>
        <w:pStyle w:val="Seznamobrzk"/>
        <w:tabs>
          <w:tab w:val="right" w:leader="dot" w:pos="9062"/>
        </w:tabs>
        <w:rPr>
          <w:rFonts w:eastAsiaTheme="minorEastAsia"/>
          <w:noProof/>
          <w:lang w:eastAsia="cs-CZ"/>
        </w:rPr>
      </w:pPr>
      <w:hyperlink w:anchor="_Toc420058331" w:history="1">
        <w:r w:rsidRPr="00E310BD">
          <w:rPr>
            <w:rStyle w:val="Hypertextovodkaz"/>
            <w:noProof/>
          </w:rPr>
          <w:t xml:space="preserve">Obrázek č. 1: </w:t>
        </w:r>
        <w:r w:rsidRPr="00E310BD">
          <w:rPr>
            <w:rStyle w:val="Hypertextovodkaz"/>
            <w:i/>
            <w:noProof/>
          </w:rPr>
          <w:t>Role jednotlivých subjektů</w:t>
        </w:r>
        <w:r>
          <w:rPr>
            <w:noProof/>
            <w:webHidden/>
          </w:rPr>
          <w:tab/>
        </w:r>
        <w:r>
          <w:rPr>
            <w:noProof/>
            <w:webHidden/>
          </w:rPr>
          <w:fldChar w:fldCharType="begin"/>
        </w:r>
        <w:r>
          <w:rPr>
            <w:noProof/>
            <w:webHidden/>
          </w:rPr>
          <w:instrText xml:space="preserve"> PAGEREF _Toc420058331 \h </w:instrText>
        </w:r>
        <w:r>
          <w:rPr>
            <w:noProof/>
            <w:webHidden/>
          </w:rPr>
        </w:r>
        <w:r>
          <w:rPr>
            <w:noProof/>
            <w:webHidden/>
          </w:rPr>
          <w:fldChar w:fldCharType="separate"/>
        </w:r>
        <w:r>
          <w:rPr>
            <w:noProof/>
            <w:webHidden/>
          </w:rPr>
          <w:t>13</w:t>
        </w:r>
        <w:r>
          <w:rPr>
            <w:noProof/>
            <w:webHidden/>
          </w:rPr>
          <w:fldChar w:fldCharType="end"/>
        </w:r>
      </w:hyperlink>
    </w:p>
    <w:p w:rsidR="00B71544" w:rsidRDefault="00455353" w:rsidP="00A9339D">
      <w:pPr>
        <w:pStyle w:val="Podnzev"/>
        <w:rPr>
          <w:rFonts w:asciiTheme="minorHAnsi" w:eastAsiaTheme="minorHAnsi" w:hAnsiTheme="minorHAnsi" w:cstheme="minorBidi"/>
          <w:i/>
          <w:iCs/>
          <w:smallCaps w:val="0"/>
          <w:color w:val="auto"/>
          <w:sz w:val="22"/>
          <w:szCs w:val="22"/>
          <w:lang w:val="cs-CZ" w:eastAsia="en-US"/>
        </w:rPr>
      </w:pPr>
      <w:r>
        <w:rPr>
          <w:rFonts w:asciiTheme="minorHAnsi" w:eastAsiaTheme="minorHAnsi" w:hAnsiTheme="minorHAnsi" w:cstheme="minorBidi"/>
          <w:i/>
          <w:iCs/>
          <w:smallCaps w:val="0"/>
          <w:color w:val="auto"/>
          <w:sz w:val="22"/>
          <w:szCs w:val="22"/>
          <w:lang w:val="cs-CZ" w:eastAsia="en-US"/>
        </w:rPr>
        <w:fldChar w:fldCharType="end"/>
      </w:r>
    </w:p>
    <w:p w:rsidR="00A9339D" w:rsidRDefault="00EA0E7A" w:rsidP="00A9339D">
      <w:pPr>
        <w:pStyle w:val="Podnzev"/>
        <w:rPr>
          <w:rFonts w:asciiTheme="minorHAnsi" w:eastAsiaTheme="minorHAnsi" w:hAnsiTheme="minorHAnsi" w:cstheme="minorBidi"/>
          <w:b/>
          <w:iCs/>
          <w:smallCaps w:val="0"/>
          <w:color w:val="auto"/>
          <w:sz w:val="22"/>
          <w:szCs w:val="22"/>
          <w:lang w:val="cs-CZ" w:eastAsia="en-US"/>
        </w:rPr>
      </w:pPr>
      <w:r w:rsidRPr="00EA0E7A">
        <w:rPr>
          <w:rFonts w:asciiTheme="minorHAnsi" w:eastAsiaTheme="minorHAnsi" w:hAnsiTheme="minorHAnsi" w:cstheme="minorBidi"/>
          <w:b/>
          <w:iCs/>
          <w:smallCaps w:val="0"/>
          <w:color w:val="auto"/>
          <w:sz w:val="22"/>
          <w:szCs w:val="22"/>
          <w:lang w:val="cs-CZ" w:eastAsia="en-US"/>
        </w:rPr>
        <w:lastRenderedPageBreak/>
        <w:t>Seznam zkratek</w:t>
      </w:r>
    </w:p>
    <w:p w:rsidR="000178E5" w:rsidRPr="00B71544" w:rsidRDefault="000178E5" w:rsidP="00B71544">
      <w:pPr>
        <w:spacing w:after="120"/>
        <w:contextualSpacing/>
        <w:jc w:val="both"/>
        <w:rPr>
          <w:rFonts w:cstheme="minorHAnsi"/>
        </w:rPr>
      </w:pPr>
      <w:r w:rsidRPr="00B71544">
        <w:rPr>
          <w:rFonts w:cstheme="minorHAnsi"/>
        </w:rPr>
        <w:t>APR</w:t>
      </w:r>
      <w:r w:rsidRPr="00B71544">
        <w:rPr>
          <w:rFonts w:cstheme="minorHAnsi"/>
        </w:rPr>
        <w:tab/>
      </w:r>
      <w:r w:rsidRPr="00B71544">
        <w:rPr>
          <w:rFonts w:cstheme="minorHAnsi"/>
        </w:rPr>
        <w:tab/>
      </w:r>
      <w:proofErr w:type="spellStart"/>
      <w:r w:rsidR="00451E13" w:rsidRPr="00B71544">
        <w:rPr>
          <w:rStyle w:val="st1"/>
          <w:rFonts w:ascii="Arial" w:hAnsi="Arial" w:cs="Arial"/>
        </w:rPr>
        <w:t>Advanced</w:t>
      </w:r>
      <w:proofErr w:type="spellEnd"/>
      <w:r w:rsidR="00451E13" w:rsidRPr="00B71544">
        <w:rPr>
          <w:rStyle w:val="st1"/>
          <w:rFonts w:ascii="Arial" w:hAnsi="Arial" w:cs="Arial"/>
        </w:rPr>
        <w:t xml:space="preserve"> </w:t>
      </w:r>
      <w:proofErr w:type="spellStart"/>
      <w:r w:rsidR="00451E13" w:rsidRPr="00B71544">
        <w:rPr>
          <w:rStyle w:val="st1"/>
          <w:rFonts w:ascii="Arial" w:hAnsi="Arial" w:cs="Arial"/>
        </w:rPr>
        <w:t>Power</w:t>
      </w:r>
      <w:proofErr w:type="spellEnd"/>
      <w:r w:rsidR="00451E13" w:rsidRPr="00B71544">
        <w:rPr>
          <w:rStyle w:val="st1"/>
          <w:rFonts w:ascii="Arial" w:hAnsi="Arial" w:cs="Arial"/>
        </w:rPr>
        <w:t xml:space="preserve"> </w:t>
      </w:r>
      <w:proofErr w:type="spellStart"/>
      <w:r w:rsidR="00451E13" w:rsidRPr="00B71544">
        <w:rPr>
          <w:rStyle w:val="st1"/>
          <w:rFonts w:ascii="Arial" w:hAnsi="Arial" w:cs="Arial"/>
        </w:rPr>
        <w:t>Reactor</w:t>
      </w:r>
      <w:proofErr w:type="spellEnd"/>
    </w:p>
    <w:p w:rsidR="000178E5" w:rsidRPr="00B71544" w:rsidRDefault="000178E5" w:rsidP="00B71544">
      <w:pPr>
        <w:spacing w:after="120"/>
        <w:contextualSpacing/>
        <w:jc w:val="both"/>
        <w:rPr>
          <w:rFonts w:cstheme="minorHAnsi"/>
        </w:rPr>
      </w:pPr>
      <w:r w:rsidRPr="00B71544">
        <w:rPr>
          <w:rFonts w:cstheme="minorHAnsi"/>
        </w:rPr>
        <w:t>APWR</w:t>
      </w:r>
      <w:r w:rsidRPr="00B71544">
        <w:rPr>
          <w:rFonts w:cstheme="minorHAnsi"/>
        </w:rPr>
        <w:tab/>
      </w:r>
      <w:r w:rsidRPr="00B71544">
        <w:rPr>
          <w:rFonts w:cstheme="minorHAnsi"/>
        </w:rPr>
        <w:tab/>
      </w:r>
      <w:proofErr w:type="spellStart"/>
      <w:r w:rsidR="00451E13" w:rsidRPr="00B71544">
        <w:rPr>
          <w:rFonts w:ascii="Arial" w:hAnsi="Arial" w:cs="Arial"/>
        </w:rPr>
        <w:t>Advanced</w:t>
      </w:r>
      <w:proofErr w:type="spellEnd"/>
      <w:r w:rsidR="00451E13" w:rsidRPr="00B71544">
        <w:rPr>
          <w:rFonts w:ascii="Arial" w:hAnsi="Arial" w:cs="Arial"/>
        </w:rPr>
        <w:t xml:space="preserve"> </w:t>
      </w:r>
      <w:proofErr w:type="spellStart"/>
      <w:r w:rsidR="00451E13" w:rsidRPr="00B71544">
        <w:rPr>
          <w:rFonts w:ascii="Arial" w:hAnsi="Arial" w:cs="Arial"/>
        </w:rPr>
        <w:t>pressurized</w:t>
      </w:r>
      <w:proofErr w:type="spellEnd"/>
      <w:r w:rsidR="00451E13" w:rsidRPr="00B71544">
        <w:rPr>
          <w:rFonts w:ascii="Arial" w:hAnsi="Arial" w:cs="Arial"/>
        </w:rPr>
        <w:t xml:space="preserve"> </w:t>
      </w:r>
      <w:proofErr w:type="spellStart"/>
      <w:r w:rsidR="00451E13" w:rsidRPr="00B71544">
        <w:rPr>
          <w:rFonts w:ascii="Arial" w:hAnsi="Arial" w:cs="Arial"/>
        </w:rPr>
        <w:t>water</w:t>
      </w:r>
      <w:proofErr w:type="spellEnd"/>
      <w:r w:rsidR="00451E13" w:rsidRPr="00B71544">
        <w:rPr>
          <w:rFonts w:ascii="Arial" w:hAnsi="Arial" w:cs="Arial"/>
        </w:rPr>
        <w:t xml:space="preserve"> </w:t>
      </w:r>
      <w:proofErr w:type="spellStart"/>
      <w:r w:rsidR="00451E13" w:rsidRPr="00B71544">
        <w:rPr>
          <w:rFonts w:ascii="Arial" w:hAnsi="Arial" w:cs="Arial"/>
          <w:bCs/>
        </w:rPr>
        <w:t>reactor</w:t>
      </w:r>
      <w:proofErr w:type="spellEnd"/>
    </w:p>
    <w:p w:rsidR="000178E5" w:rsidRPr="00B71544" w:rsidRDefault="000178E5" w:rsidP="00B71544">
      <w:pPr>
        <w:spacing w:after="120"/>
        <w:contextualSpacing/>
        <w:jc w:val="both"/>
        <w:rPr>
          <w:rFonts w:cstheme="minorHAnsi"/>
        </w:rPr>
      </w:pPr>
      <w:r w:rsidRPr="00B71544">
        <w:rPr>
          <w:rFonts w:cstheme="minorHAnsi"/>
        </w:rPr>
        <w:t>ASE</w:t>
      </w:r>
      <w:r w:rsidRPr="00B71544">
        <w:rPr>
          <w:rFonts w:cstheme="minorHAnsi"/>
        </w:rPr>
        <w:tab/>
      </w:r>
      <w:r w:rsidRPr="00B71544">
        <w:rPr>
          <w:rFonts w:cstheme="minorHAnsi"/>
        </w:rPr>
        <w:tab/>
      </w:r>
      <w:proofErr w:type="spellStart"/>
      <w:r w:rsidR="004F18FC" w:rsidRPr="00B71544">
        <w:rPr>
          <w:rStyle w:val="st1"/>
          <w:rFonts w:ascii="Arial" w:hAnsi="Arial" w:cs="Arial"/>
        </w:rPr>
        <w:t>Atomstroyexport</w:t>
      </w:r>
      <w:proofErr w:type="spellEnd"/>
    </w:p>
    <w:p w:rsidR="000178E5" w:rsidRPr="00B71544" w:rsidRDefault="000178E5" w:rsidP="00B71544">
      <w:pPr>
        <w:spacing w:after="120"/>
        <w:contextualSpacing/>
        <w:jc w:val="both"/>
        <w:rPr>
          <w:rFonts w:cstheme="minorHAnsi"/>
        </w:rPr>
      </w:pPr>
      <w:proofErr w:type="spellStart"/>
      <w:r w:rsidRPr="00B71544">
        <w:rPr>
          <w:rFonts w:cstheme="minorHAnsi"/>
        </w:rPr>
        <w:t>AtomZ</w:t>
      </w:r>
      <w:proofErr w:type="spellEnd"/>
      <w:r w:rsidRPr="00B71544">
        <w:rPr>
          <w:rFonts w:cstheme="minorHAnsi"/>
        </w:rPr>
        <w:tab/>
      </w:r>
      <w:r w:rsidRPr="00B71544">
        <w:rPr>
          <w:rFonts w:cstheme="minorHAnsi"/>
        </w:rPr>
        <w:tab/>
        <w:t>atomový zákon</w:t>
      </w:r>
    </w:p>
    <w:p w:rsidR="000178E5" w:rsidRPr="00B71544" w:rsidRDefault="000178E5" w:rsidP="00B71544">
      <w:pPr>
        <w:spacing w:after="120"/>
        <w:contextualSpacing/>
        <w:jc w:val="both"/>
        <w:rPr>
          <w:rFonts w:cstheme="minorHAnsi"/>
        </w:rPr>
      </w:pPr>
      <w:r w:rsidRPr="00B71544">
        <w:rPr>
          <w:rFonts w:cstheme="minorHAnsi"/>
        </w:rPr>
        <w:t>CAPEX</w:t>
      </w:r>
      <w:r w:rsidRPr="00B71544">
        <w:rPr>
          <w:rFonts w:cstheme="minorHAnsi"/>
        </w:rPr>
        <w:tab/>
      </w:r>
      <w:r w:rsidRPr="00B71544">
        <w:rPr>
          <w:rFonts w:cstheme="minorHAnsi"/>
        </w:rPr>
        <w:tab/>
      </w:r>
      <w:proofErr w:type="spellStart"/>
      <w:r w:rsidRPr="00B71544">
        <w:rPr>
          <w:rFonts w:cstheme="minorHAnsi"/>
          <w:i/>
        </w:rPr>
        <w:t>Capital</w:t>
      </w:r>
      <w:proofErr w:type="spellEnd"/>
      <w:r w:rsidRPr="00B71544">
        <w:rPr>
          <w:rFonts w:cstheme="minorHAnsi"/>
          <w:i/>
        </w:rPr>
        <w:t xml:space="preserve"> </w:t>
      </w:r>
      <w:proofErr w:type="spellStart"/>
      <w:r w:rsidRPr="00B71544">
        <w:rPr>
          <w:rFonts w:cstheme="minorHAnsi"/>
          <w:i/>
        </w:rPr>
        <w:t>Expenditure</w:t>
      </w:r>
      <w:proofErr w:type="spellEnd"/>
      <w:r w:rsidRPr="00B71544">
        <w:rPr>
          <w:rFonts w:cstheme="minorHAnsi"/>
        </w:rPr>
        <w:t xml:space="preserve"> (kapitálové náklady)</w:t>
      </w:r>
    </w:p>
    <w:p w:rsidR="000178E5" w:rsidRPr="00B71544" w:rsidRDefault="000178E5" w:rsidP="00B71544">
      <w:pPr>
        <w:spacing w:after="120"/>
        <w:contextualSpacing/>
        <w:jc w:val="both"/>
        <w:rPr>
          <w:rFonts w:cstheme="minorHAnsi"/>
        </w:rPr>
      </w:pPr>
      <w:proofErr w:type="spellStart"/>
      <w:r w:rsidRPr="00B71544">
        <w:rPr>
          <w:rFonts w:cstheme="minorHAnsi"/>
        </w:rPr>
        <w:t>CfD</w:t>
      </w:r>
      <w:proofErr w:type="spellEnd"/>
      <w:r w:rsidRPr="00B71544">
        <w:rPr>
          <w:rFonts w:cstheme="minorHAnsi"/>
        </w:rPr>
        <w:tab/>
      </w:r>
      <w:r w:rsidRPr="00B71544">
        <w:rPr>
          <w:rFonts w:cstheme="minorHAnsi"/>
        </w:rPr>
        <w:tab/>
      </w:r>
      <w:proofErr w:type="spellStart"/>
      <w:r w:rsidRPr="00B71544">
        <w:rPr>
          <w:rFonts w:cstheme="minorHAnsi"/>
          <w:i/>
        </w:rPr>
        <w:t>Contract</w:t>
      </w:r>
      <w:proofErr w:type="spellEnd"/>
      <w:r w:rsidRPr="00B71544">
        <w:rPr>
          <w:rFonts w:cstheme="minorHAnsi"/>
          <w:i/>
        </w:rPr>
        <w:t xml:space="preserve"> </w:t>
      </w:r>
      <w:proofErr w:type="spellStart"/>
      <w:r w:rsidRPr="00B71544">
        <w:rPr>
          <w:rFonts w:cstheme="minorHAnsi"/>
          <w:i/>
        </w:rPr>
        <w:t>for</w:t>
      </w:r>
      <w:proofErr w:type="spellEnd"/>
      <w:r w:rsidRPr="00B71544">
        <w:rPr>
          <w:rFonts w:cstheme="minorHAnsi"/>
          <w:i/>
        </w:rPr>
        <w:t xml:space="preserve"> </w:t>
      </w:r>
      <w:proofErr w:type="spellStart"/>
      <w:r w:rsidRPr="00B71544">
        <w:rPr>
          <w:rFonts w:cstheme="minorHAnsi"/>
          <w:i/>
        </w:rPr>
        <w:t>Difference</w:t>
      </w:r>
      <w:proofErr w:type="spellEnd"/>
    </w:p>
    <w:p w:rsidR="000178E5" w:rsidRPr="00B71544" w:rsidRDefault="000178E5" w:rsidP="00B71544">
      <w:pPr>
        <w:spacing w:after="120"/>
        <w:contextualSpacing/>
        <w:jc w:val="both"/>
        <w:rPr>
          <w:rFonts w:cstheme="minorHAnsi"/>
        </w:rPr>
      </w:pPr>
      <w:r w:rsidRPr="00B71544">
        <w:rPr>
          <w:rFonts w:cstheme="minorHAnsi"/>
        </w:rPr>
        <w:t>CŽV</w:t>
      </w:r>
      <w:r w:rsidRPr="00B71544">
        <w:rPr>
          <w:rFonts w:cstheme="minorHAnsi"/>
        </w:rPr>
        <w:tab/>
      </w:r>
      <w:r w:rsidRPr="00B71544">
        <w:rPr>
          <w:rFonts w:cstheme="minorHAnsi"/>
        </w:rPr>
        <w:tab/>
        <w:t>celoživotní vzdělávání</w:t>
      </w:r>
    </w:p>
    <w:p w:rsidR="000178E5" w:rsidRPr="00B71544" w:rsidRDefault="000178E5" w:rsidP="00B71544">
      <w:pPr>
        <w:spacing w:after="120"/>
        <w:contextualSpacing/>
        <w:jc w:val="both"/>
        <w:rPr>
          <w:rFonts w:cstheme="minorHAnsi"/>
        </w:rPr>
      </w:pPr>
      <w:r w:rsidRPr="00B71544">
        <w:rPr>
          <w:rFonts w:cstheme="minorHAnsi"/>
        </w:rPr>
        <w:t>ČBÚ</w:t>
      </w:r>
      <w:r w:rsidRPr="00B71544">
        <w:rPr>
          <w:rFonts w:cstheme="minorHAnsi"/>
        </w:rPr>
        <w:tab/>
      </w:r>
      <w:r w:rsidRPr="00B71544">
        <w:rPr>
          <w:rFonts w:cstheme="minorHAnsi"/>
        </w:rPr>
        <w:tab/>
        <w:t>Český báňský úřad</w:t>
      </w:r>
    </w:p>
    <w:p w:rsidR="000178E5" w:rsidRPr="00B71544" w:rsidRDefault="000178E5" w:rsidP="00B71544">
      <w:pPr>
        <w:spacing w:after="120"/>
        <w:contextualSpacing/>
        <w:jc w:val="both"/>
        <w:rPr>
          <w:rFonts w:cstheme="minorHAnsi"/>
        </w:rPr>
      </w:pPr>
      <w:r w:rsidRPr="00B71544">
        <w:rPr>
          <w:rFonts w:eastAsiaTheme="majorEastAsia" w:cstheme="minorHAnsi"/>
          <w:kern w:val="24"/>
        </w:rPr>
        <w:t>ČVUT</w:t>
      </w:r>
      <w:r w:rsidRPr="00B71544">
        <w:rPr>
          <w:rFonts w:eastAsiaTheme="majorEastAsia" w:cstheme="minorHAnsi"/>
          <w:kern w:val="24"/>
        </w:rPr>
        <w:tab/>
      </w:r>
      <w:r w:rsidRPr="00B71544">
        <w:rPr>
          <w:rFonts w:eastAsiaTheme="majorEastAsia" w:cstheme="minorHAnsi"/>
          <w:kern w:val="24"/>
        </w:rPr>
        <w:tab/>
        <w:t>České vysoké učení technické</w:t>
      </w:r>
    </w:p>
    <w:p w:rsidR="000178E5" w:rsidRPr="00B71544" w:rsidRDefault="000178E5" w:rsidP="00B71544">
      <w:pPr>
        <w:spacing w:after="120"/>
        <w:contextualSpacing/>
        <w:jc w:val="both"/>
        <w:rPr>
          <w:rFonts w:cstheme="minorHAnsi"/>
        </w:rPr>
      </w:pPr>
      <w:r w:rsidRPr="00B71544">
        <w:rPr>
          <w:rFonts w:cstheme="minorHAnsi"/>
        </w:rPr>
        <w:t>ECA</w:t>
      </w:r>
      <w:r w:rsidRPr="00B71544">
        <w:rPr>
          <w:rFonts w:cstheme="minorHAnsi"/>
        </w:rPr>
        <w:tab/>
      </w:r>
      <w:r w:rsidRPr="00B71544">
        <w:rPr>
          <w:rFonts w:cstheme="minorHAnsi"/>
        </w:rPr>
        <w:tab/>
      </w:r>
      <w:r w:rsidRPr="00B71544">
        <w:rPr>
          <w:rFonts w:cstheme="minorHAnsi"/>
          <w:i/>
        </w:rPr>
        <w:t xml:space="preserve">Export </w:t>
      </w:r>
      <w:proofErr w:type="spellStart"/>
      <w:r w:rsidRPr="00B71544">
        <w:rPr>
          <w:rFonts w:cstheme="minorHAnsi"/>
          <w:i/>
        </w:rPr>
        <w:t>Credit</w:t>
      </w:r>
      <w:proofErr w:type="spellEnd"/>
      <w:r w:rsidRPr="00B71544">
        <w:rPr>
          <w:rFonts w:cstheme="minorHAnsi"/>
          <w:i/>
        </w:rPr>
        <w:t xml:space="preserve"> </w:t>
      </w:r>
      <w:proofErr w:type="spellStart"/>
      <w:r w:rsidRPr="00B71544">
        <w:rPr>
          <w:rFonts w:cstheme="minorHAnsi"/>
          <w:i/>
        </w:rPr>
        <w:t>Agency</w:t>
      </w:r>
      <w:proofErr w:type="spellEnd"/>
      <w:r w:rsidRPr="00B71544">
        <w:rPr>
          <w:rFonts w:cstheme="minorHAnsi"/>
        </w:rPr>
        <w:t xml:space="preserve"> (exportní úvěrová agentura)</w:t>
      </w:r>
    </w:p>
    <w:p w:rsidR="000178E5" w:rsidRPr="00B71544" w:rsidRDefault="000178E5" w:rsidP="00B71544">
      <w:pPr>
        <w:spacing w:after="120"/>
        <w:contextualSpacing/>
        <w:jc w:val="both"/>
        <w:rPr>
          <w:rFonts w:cstheme="minorHAnsi"/>
        </w:rPr>
      </w:pPr>
      <w:r w:rsidRPr="00B71544">
        <w:rPr>
          <w:rFonts w:cstheme="minorHAnsi"/>
        </w:rPr>
        <w:t>EDU</w:t>
      </w:r>
      <w:r w:rsidRPr="00B71544">
        <w:rPr>
          <w:rFonts w:cstheme="minorHAnsi"/>
        </w:rPr>
        <w:tab/>
      </w:r>
      <w:r w:rsidRPr="00B71544">
        <w:rPr>
          <w:rFonts w:cstheme="minorHAnsi"/>
        </w:rPr>
        <w:tab/>
        <w:t>Jaderná elektrárna Dukovany</w:t>
      </w:r>
    </w:p>
    <w:p w:rsidR="000178E5" w:rsidRPr="00B71544" w:rsidRDefault="000178E5" w:rsidP="00B71544">
      <w:pPr>
        <w:spacing w:after="120"/>
        <w:contextualSpacing/>
        <w:jc w:val="both"/>
        <w:rPr>
          <w:rFonts w:cstheme="minorHAnsi"/>
        </w:rPr>
      </w:pPr>
      <w:r w:rsidRPr="00B71544">
        <w:rPr>
          <w:rFonts w:cstheme="minorHAnsi"/>
        </w:rPr>
        <w:t>EIA</w:t>
      </w:r>
      <w:r w:rsidRPr="00B71544">
        <w:rPr>
          <w:rFonts w:cstheme="minorHAnsi"/>
        </w:rPr>
        <w:tab/>
      </w:r>
      <w:r w:rsidRPr="00B71544">
        <w:rPr>
          <w:rFonts w:cstheme="minorHAnsi"/>
        </w:rPr>
        <w:tab/>
      </w:r>
      <w:proofErr w:type="spellStart"/>
      <w:r w:rsidRPr="00B71544">
        <w:rPr>
          <w:rFonts w:cstheme="minorHAnsi"/>
          <w:i/>
        </w:rPr>
        <w:t>Environmental</w:t>
      </w:r>
      <w:proofErr w:type="spellEnd"/>
      <w:r w:rsidRPr="00B71544">
        <w:rPr>
          <w:rFonts w:cstheme="minorHAnsi"/>
          <w:i/>
        </w:rPr>
        <w:t xml:space="preserve"> </w:t>
      </w:r>
      <w:proofErr w:type="spellStart"/>
      <w:r w:rsidRPr="00B71544">
        <w:rPr>
          <w:rFonts w:cstheme="minorHAnsi"/>
          <w:i/>
        </w:rPr>
        <w:t>Impact</w:t>
      </w:r>
      <w:proofErr w:type="spellEnd"/>
      <w:r w:rsidRPr="00B71544">
        <w:rPr>
          <w:rFonts w:cstheme="minorHAnsi"/>
          <w:i/>
        </w:rPr>
        <w:t xml:space="preserve"> </w:t>
      </w:r>
      <w:proofErr w:type="spellStart"/>
      <w:r w:rsidRPr="00B71544">
        <w:rPr>
          <w:rFonts w:cstheme="minorHAnsi"/>
          <w:i/>
        </w:rPr>
        <w:t>Assessment</w:t>
      </w:r>
      <w:proofErr w:type="spellEnd"/>
      <w:r w:rsidRPr="00B71544">
        <w:rPr>
          <w:rFonts w:cstheme="minorHAnsi"/>
        </w:rPr>
        <w:t xml:space="preserve"> (posuzování vlivů na životní prostředí)</w:t>
      </w:r>
    </w:p>
    <w:p w:rsidR="000178E5" w:rsidRPr="00B71544" w:rsidRDefault="000178E5" w:rsidP="00B71544">
      <w:pPr>
        <w:spacing w:after="120"/>
        <w:contextualSpacing/>
        <w:jc w:val="both"/>
        <w:rPr>
          <w:rFonts w:eastAsiaTheme="majorEastAsia" w:cstheme="minorHAnsi"/>
          <w:kern w:val="24"/>
        </w:rPr>
      </w:pPr>
      <w:r w:rsidRPr="00B71544">
        <w:rPr>
          <w:rFonts w:eastAsiaTheme="majorEastAsia" w:cstheme="minorHAnsi"/>
          <w:kern w:val="24"/>
        </w:rPr>
        <w:t>EMO</w:t>
      </w:r>
      <w:r w:rsidRPr="00B71544">
        <w:rPr>
          <w:rFonts w:eastAsiaTheme="majorEastAsia" w:cstheme="minorHAnsi"/>
          <w:kern w:val="24"/>
        </w:rPr>
        <w:tab/>
      </w:r>
      <w:r w:rsidRPr="00B71544">
        <w:rPr>
          <w:rFonts w:eastAsiaTheme="majorEastAsia" w:cstheme="minorHAnsi"/>
          <w:kern w:val="24"/>
        </w:rPr>
        <w:tab/>
        <w:t>Jaderná elektrárna Mochovce</w:t>
      </w:r>
    </w:p>
    <w:p w:rsidR="000178E5" w:rsidRPr="00B71544" w:rsidRDefault="000178E5" w:rsidP="00B71544">
      <w:pPr>
        <w:spacing w:after="120"/>
        <w:contextualSpacing/>
        <w:jc w:val="both"/>
        <w:rPr>
          <w:rFonts w:eastAsia="Times New Roman" w:cstheme="minorHAnsi"/>
        </w:rPr>
      </w:pPr>
      <w:r w:rsidRPr="00B71544">
        <w:rPr>
          <w:rFonts w:eastAsiaTheme="majorEastAsia" w:cstheme="minorHAnsi"/>
          <w:kern w:val="24"/>
        </w:rPr>
        <w:t>ENEN</w:t>
      </w:r>
      <w:r w:rsidRPr="00B71544">
        <w:rPr>
          <w:rFonts w:eastAsiaTheme="majorEastAsia" w:cstheme="minorHAnsi"/>
          <w:kern w:val="24"/>
        </w:rPr>
        <w:tab/>
      </w:r>
      <w:r w:rsidRPr="00B71544">
        <w:rPr>
          <w:rFonts w:eastAsiaTheme="majorEastAsia" w:cstheme="minorHAnsi"/>
          <w:kern w:val="24"/>
        </w:rPr>
        <w:tab/>
      </w:r>
      <w:proofErr w:type="spellStart"/>
      <w:r w:rsidRPr="00B71544">
        <w:rPr>
          <w:rFonts w:eastAsiaTheme="majorEastAsia" w:cstheme="minorHAnsi"/>
          <w:i/>
          <w:kern w:val="24"/>
        </w:rPr>
        <w:t>European</w:t>
      </w:r>
      <w:proofErr w:type="spellEnd"/>
      <w:r w:rsidRPr="00B71544">
        <w:rPr>
          <w:rFonts w:eastAsiaTheme="majorEastAsia" w:cstheme="minorHAnsi"/>
          <w:i/>
          <w:kern w:val="24"/>
        </w:rPr>
        <w:t xml:space="preserve"> </w:t>
      </w:r>
      <w:proofErr w:type="spellStart"/>
      <w:r w:rsidRPr="00B71544">
        <w:rPr>
          <w:rFonts w:eastAsiaTheme="majorEastAsia" w:cstheme="minorHAnsi"/>
          <w:i/>
          <w:kern w:val="24"/>
        </w:rPr>
        <w:t>Nuclear</w:t>
      </w:r>
      <w:proofErr w:type="spellEnd"/>
      <w:r w:rsidRPr="00B71544">
        <w:rPr>
          <w:rFonts w:eastAsiaTheme="majorEastAsia" w:cstheme="minorHAnsi"/>
          <w:i/>
          <w:kern w:val="24"/>
        </w:rPr>
        <w:t xml:space="preserve"> </w:t>
      </w:r>
      <w:proofErr w:type="spellStart"/>
      <w:r w:rsidRPr="00B71544">
        <w:rPr>
          <w:rFonts w:eastAsiaTheme="majorEastAsia" w:cstheme="minorHAnsi"/>
          <w:i/>
          <w:kern w:val="24"/>
        </w:rPr>
        <w:t>Education</w:t>
      </w:r>
      <w:proofErr w:type="spellEnd"/>
      <w:r w:rsidRPr="00B71544">
        <w:rPr>
          <w:rFonts w:eastAsiaTheme="majorEastAsia" w:cstheme="minorHAnsi"/>
          <w:i/>
          <w:kern w:val="24"/>
        </w:rPr>
        <w:t xml:space="preserve"> Network</w:t>
      </w:r>
    </w:p>
    <w:p w:rsidR="000178E5" w:rsidRPr="00B71544" w:rsidRDefault="000178E5" w:rsidP="00B71544">
      <w:pPr>
        <w:spacing w:after="120"/>
        <w:contextualSpacing/>
        <w:jc w:val="both"/>
        <w:rPr>
          <w:rFonts w:cstheme="minorHAnsi"/>
        </w:rPr>
      </w:pPr>
      <w:r w:rsidRPr="00B71544">
        <w:rPr>
          <w:rFonts w:cstheme="minorHAnsi"/>
        </w:rPr>
        <w:t>EPC</w:t>
      </w:r>
      <w:r w:rsidRPr="00B71544">
        <w:rPr>
          <w:rFonts w:cstheme="minorHAnsi"/>
        </w:rPr>
        <w:tab/>
      </w:r>
      <w:r w:rsidRPr="00B71544">
        <w:rPr>
          <w:rFonts w:cstheme="minorHAnsi"/>
        </w:rPr>
        <w:tab/>
      </w:r>
      <w:proofErr w:type="spellStart"/>
      <w:r w:rsidRPr="00B71544">
        <w:rPr>
          <w:rFonts w:cstheme="minorHAnsi"/>
          <w:i/>
        </w:rPr>
        <w:t>Engineering</w:t>
      </w:r>
      <w:proofErr w:type="spellEnd"/>
      <w:r w:rsidRPr="00B71544">
        <w:rPr>
          <w:rFonts w:cstheme="minorHAnsi"/>
          <w:i/>
        </w:rPr>
        <w:t xml:space="preserve">, </w:t>
      </w:r>
      <w:proofErr w:type="spellStart"/>
      <w:r w:rsidRPr="00B71544">
        <w:rPr>
          <w:rFonts w:cstheme="minorHAnsi"/>
          <w:i/>
        </w:rPr>
        <w:t>Procurement</w:t>
      </w:r>
      <w:proofErr w:type="spellEnd"/>
      <w:r w:rsidRPr="00B71544">
        <w:rPr>
          <w:rFonts w:cstheme="minorHAnsi"/>
          <w:i/>
        </w:rPr>
        <w:t xml:space="preserve">, </w:t>
      </w:r>
      <w:proofErr w:type="spellStart"/>
      <w:r w:rsidRPr="00B71544">
        <w:rPr>
          <w:rFonts w:cstheme="minorHAnsi"/>
          <w:i/>
        </w:rPr>
        <w:t>Construction</w:t>
      </w:r>
      <w:proofErr w:type="spellEnd"/>
    </w:p>
    <w:p w:rsidR="000178E5" w:rsidRPr="00B71544" w:rsidRDefault="000178E5" w:rsidP="00B71544">
      <w:pPr>
        <w:spacing w:after="120"/>
        <w:contextualSpacing/>
        <w:jc w:val="both"/>
        <w:rPr>
          <w:rFonts w:cstheme="minorHAnsi"/>
        </w:rPr>
      </w:pPr>
      <w:r w:rsidRPr="00B71544">
        <w:rPr>
          <w:rFonts w:cstheme="minorHAnsi"/>
        </w:rPr>
        <w:t>ETE</w:t>
      </w:r>
      <w:r w:rsidRPr="00B71544">
        <w:rPr>
          <w:rFonts w:cstheme="minorHAnsi"/>
        </w:rPr>
        <w:tab/>
      </w:r>
      <w:r w:rsidRPr="00B71544">
        <w:rPr>
          <w:rFonts w:cstheme="minorHAnsi"/>
        </w:rPr>
        <w:tab/>
        <w:t>Jaderná elektrárna Temelín</w:t>
      </w:r>
    </w:p>
    <w:p w:rsidR="000178E5" w:rsidRPr="00B71544" w:rsidRDefault="000178E5" w:rsidP="00B71544">
      <w:pPr>
        <w:spacing w:after="120"/>
        <w:contextualSpacing/>
        <w:jc w:val="both"/>
        <w:rPr>
          <w:rFonts w:cstheme="minorHAnsi"/>
        </w:rPr>
      </w:pPr>
      <w:r w:rsidRPr="00B71544">
        <w:rPr>
          <w:rFonts w:cstheme="minorHAnsi"/>
        </w:rPr>
        <w:t>EU</w:t>
      </w:r>
      <w:r w:rsidRPr="00B71544">
        <w:rPr>
          <w:rFonts w:cstheme="minorHAnsi"/>
        </w:rPr>
        <w:tab/>
      </w:r>
      <w:r w:rsidRPr="00B71544">
        <w:rPr>
          <w:rFonts w:cstheme="minorHAnsi"/>
        </w:rPr>
        <w:tab/>
        <w:t>Evropská unie</w:t>
      </w:r>
    </w:p>
    <w:p w:rsidR="000178E5" w:rsidRPr="00B71544" w:rsidRDefault="000178E5" w:rsidP="00B71544">
      <w:pPr>
        <w:spacing w:after="120"/>
        <w:contextualSpacing/>
        <w:jc w:val="both"/>
        <w:rPr>
          <w:rFonts w:cstheme="minorHAnsi"/>
        </w:rPr>
      </w:pPr>
      <w:r w:rsidRPr="00B71544">
        <w:rPr>
          <w:rFonts w:cstheme="minorHAnsi"/>
        </w:rPr>
        <w:t>GE</w:t>
      </w:r>
      <w:r w:rsidRPr="00B71544">
        <w:rPr>
          <w:rFonts w:cstheme="minorHAnsi"/>
        </w:rPr>
        <w:tab/>
      </w:r>
      <w:r w:rsidRPr="00B71544">
        <w:rPr>
          <w:rFonts w:cstheme="minorHAnsi"/>
        </w:rPr>
        <w:tab/>
      </w:r>
      <w:r w:rsidR="004F18FC" w:rsidRPr="00B71544">
        <w:rPr>
          <w:rFonts w:cstheme="minorHAnsi"/>
        </w:rPr>
        <w:t xml:space="preserve">General </w:t>
      </w:r>
      <w:proofErr w:type="spellStart"/>
      <w:r w:rsidR="004F18FC" w:rsidRPr="00B71544">
        <w:rPr>
          <w:rFonts w:cstheme="minorHAnsi"/>
        </w:rPr>
        <w:t>electrics</w:t>
      </w:r>
      <w:proofErr w:type="spellEnd"/>
    </w:p>
    <w:p w:rsidR="000178E5" w:rsidRPr="00B71544" w:rsidRDefault="000178E5" w:rsidP="00B71544">
      <w:pPr>
        <w:spacing w:after="120"/>
        <w:contextualSpacing/>
        <w:jc w:val="both"/>
        <w:rPr>
          <w:rFonts w:cstheme="minorHAnsi"/>
        </w:rPr>
      </w:pPr>
      <w:r w:rsidRPr="00B71544">
        <w:rPr>
          <w:rFonts w:cstheme="minorHAnsi"/>
        </w:rPr>
        <w:t>HDP</w:t>
      </w:r>
      <w:r w:rsidRPr="00B71544">
        <w:rPr>
          <w:rFonts w:cstheme="minorHAnsi"/>
        </w:rPr>
        <w:tab/>
      </w:r>
      <w:r w:rsidRPr="00B71544">
        <w:rPr>
          <w:rFonts w:cstheme="minorHAnsi"/>
        </w:rPr>
        <w:tab/>
        <w:t>hrubý domácí produkt</w:t>
      </w:r>
    </w:p>
    <w:p w:rsidR="000178E5" w:rsidRPr="00B71544" w:rsidRDefault="000178E5" w:rsidP="00B71544">
      <w:pPr>
        <w:spacing w:after="120"/>
        <w:contextualSpacing/>
        <w:jc w:val="both"/>
        <w:rPr>
          <w:rFonts w:cstheme="minorHAnsi"/>
        </w:rPr>
      </w:pPr>
      <w:r w:rsidRPr="00B71544">
        <w:rPr>
          <w:rFonts w:cstheme="minorHAnsi"/>
        </w:rPr>
        <w:t>HÚ</w:t>
      </w:r>
      <w:r w:rsidRPr="00B71544">
        <w:rPr>
          <w:rFonts w:cstheme="minorHAnsi"/>
        </w:rPr>
        <w:tab/>
      </w:r>
      <w:r w:rsidRPr="00B71544">
        <w:rPr>
          <w:rFonts w:cstheme="minorHAnsi"/>
        </w:rPr>
        <w:tab/>
        <w:t>hlubinné úložiště</w:t>
      </w:r>
    </w:p>
    <w:p w:rsidR="000178E5" w:rsidRPr="00B71544" w:rsidRDefault="000178E5" w:rsidP="00B71544">
      <w:pPr>
        <w:spacing w:after="120"/>
        <w:contextualSpacing/>
        <w:jc w:val="both"/>
        <w:rPr>
          <w:rFonts w:cstheme="minorHAnsi"/>
        </w:rPr>
      </w:pPr>
      <w:r w:rsidRPr="00B71544">
        <w:rPr>
          <w:rFonts w:cstheme="minorHAnsi"/>
        </w:rPr>
        <w:t>IEA</w:t>
      </w:r>
      <w:r w:rsidRPr="00B71544">
        <w:rPr>
          <w:rFonts w:cstheme="minorHAnsi"/>
        </w:rPr>
        <w:tab/>
      </w:r>
      <w:r w:rsidRPr="00B71544">
        <w:rPr>
          <w:rFonts w:cstheme="minorHAnsi"/>
        </w:rPr>
        <w:tab/>
      </w:r>
      <w:r w:rsidRPr="00B71544">
        <w:rPr>
          <w:rFonts w:cstheme="minorHAnsi"/>
          <w:i/>
        </w:rPr>
        <w:t xml:space="preserve">International </w:t>
      </w:r>
      <w:proofErr w:type="spellStart"/>
      <w:r w:rsidRPr="00B71544">
        <w:rPr>
          <w:rFonts w:cstheme="minorHAnsi"/>
          <w:i/>
        </w:rPr>
        <w:t>Energy</w:t>
      </w:r>
      <w:proofErr w:type="spellEnd"/>
      <w:r w:rsidRPr="00B71544">
        <w:rPr>
          <w:rFonts w:cstheme="minorHAnsi"/>
          <w:i/>
        </w:rPr>
        <w:t xml:space="preserve"> </w:t>
      </w:r>
      <w:proofErr w:type="spellStart"/>
      <w:r w:rsidRPr="00B71544">
        <w:rPr>
          <w:rFonts w:cstheme="minorHAnsi"/>
          <w:i/>
        </w:rPr>
        <w:t>Agency</w:t>
      </w:r>
      <w:proofErr w:type="spellEnd"/>
      <w:r w:rsidRPr="00B71544">
        <w:rPr>
          <w:rFonts w:cstheme="minorHAnsi"/>
        </w:rPr>
        <w:t xml:space="preserve"> (Mezinárodní energetická agentura)</w:t>
      </w:r>
    </w:p>
    <w:p w:rsidR="000178E5" w:rsidRPr="00B71544" w:rsidRDefault="000178E5" w:rsidP="00B71544">
      <w:pPr>
        <w:spacing w:after="120"/>
        <w:contextualSpacing/>
        <w:jc w:val="both"/>
        <w:rPr>
          <w:rFonts w:cstheme="minorHAnsi"/>
        </w:rPr>
      </w:pPr>
      <w:r w:rsidRPr="00B71544">
        <w:rPr>
          <w:rFonts w:cstheme="minorHAnsi"/>
        </w:rPr>
        <w:t>JE</w:t>
      </w:r>
      <w:r w:rsidRPr="00B71544">
        <w:rPr>
          <w:rFonts w:cstheme="minorHAnsi"/>
        </w:rPr>
        <w:tab/>
      </w:r>
      <w:r w:rsidRPr="00B71544">
        <w:rPr>
          <w:rFonts w:cstheme="minorHAnsi"/>
        </w:rPr>
        <w:tab/>
        <w:t>jaderná elektrárna, jaderná energetika, jaderná energie</w:t>
      </w:r>
    </w:p>
    <w:p w:rsidR="000178E5" w:rsidRPr="00B71544" w:rsidRDefault="000178E5" w:rsidP="00B71544">
      <w:pPr>
        <w:spacing w:after="120"/>
        <w:contextualSpacing/>
        <w:jc w:val="both"/>
        <w:rPr>
          <w:rFonts w:cstheme="minorHAnsi"/>
        </w:rPr>
      </w:pPr>
      <w:r w:rsidRPr="00B71544">
        <w:rPr>
          <w:rFonts w:cstheme="minorHAnsi"/>
        </w:rPr>
        <w:t>KHNP</w:t>
      </w:r>
      <w:r w:rsidRPr="00B71544">
        <w:rPr>
          <w:rFonts w:cstheme="minorHAnsi"/>
        </w:rPr>
        <w:tab/>
      </w:r>
      <w:r w:rsidRPr="00B71544">
        <w:rPr>
          <w:rFonts w:cstheme="minorHAnsi"/>
        </w:rPr>
        <w:tab/>
      </w:r>
      <w:r w:rsidR="004F18FC" w:rsidRPr="00B71544">
        <w:rPr>
          <w:rFonts w:cstheme="minorHAnsi"/>
        </w:rPr>
        <w:t xml:space="preserve">Korea Hydro &amp; </w:t>
      </w:r>
      <w:proofErr w:type="spellStart"/>
      <w:r w:rsidR="004F18FC" w:rsidRPr="00B71544">
        <w:rPr>
          <w:rFonts w:cstheme="minorHAnsi"/>
        </w:rPr>
        <w:t>Nuclear</w:t>
      </w:r>
      <w:proofErr w:type="spellEnd"/>
      <w:r w:rsidR="004F18FC" w:rsidRPr="00B71544">
        <w:rPr>
          <w:rFonts w:cstheme="minorHAnsi"/>
        </w:rPr>
        <w:t xml:space="preserve"> </w:t>
      </w:r>
      <w:proofErr w:type="spellStart"/>
      <w:r w:rsidR="004F18FC" w:rsidRPr="00B71544">
        <w:rPr>
          <w:rFonts w:cstheme="minorHAnsi"/>
        </w:rPr>
        <w:t>Power</w:t>
      </w:r>
      <w:proofErr w:type="spellEnd"/>
    </w:p>
    <w:p w:rsidR="000178E5" w:rsidRPr="00B71544" w:rsidRDefault="000178E5" w:rsidP="00B71544">
      <w:pPr>
        <w:spacing w:after="120"/>
        <w:contextualSpacing/>
        <w:jc w:val="both"/>
        <w:rPr>
          <w:rFonts w:cstheme="minorHAnsi"/>
        </w:rPr>
      </w:pPr>
      <w:r w:rsidRPr="00B71544">
        <w:rPr>
          <w:rFonts w:cstheme="minorHAnsi"/>
        </w:rPr>
        <w:t>LTO</w:t>
      </w:r>
      <w:r w:rsidRPr="00B71544">
        <w:rPr>
          <w:rFonts w:cstheme="minorHAnsi"/>
        </w:rPr>
        <w:tab/>
      </w:r>
      <w:r w:rsidRPr="00B71544">
        <w:rPr>
          <w:rFonts w:cstheme="minorHAnsi"/>
        </w:rPr>
        <w:tab/>
      </w:r>
      <w:r w:rsidRPr="00B71544">
        <w:rPr>
          <w:rFonts w:cstheme="minorHAnsi"/>
          <w:i/>
        </w:rPr>
        <w:t xml:space="preserve">Long Term </w:t>
      </w:r>
      <w:proofErr w:type="spellStart"/>
      <w:r w:rsidRPr="00B71544">
        <w:rPr>
          <w:rFonts w:cstheme="minorHAnsi"/>
          <w:i/>
        </w:rPr>
        <w:t>Operation</w:t>
      </w:r>
      <w:proofErr w:type="spellEnd"/>
      <w:r w:rsidRPr="00B71544">
        <w:rPr>
          <w:rFonts w:cstheme="minorHAnsi"/>
        </w:rPr>
        <w:t xml:space="preserve"> (dlouhodobý provoz)</w:t>
      </w:r>
    </w:p>
    <w:p w:rsidR="000178E5" w:rsidRPr="00B71544" w:rsidRDefault="000178E5" w:rsidP="00B71544">
      <w:pPr>
        <w:spacing w:after="120"/>
        <w:contextualSpacing/>
        <w:jc w:val="both"/>
        <w:rPr>
          <w:rFonts w:cstheme="minorHAnsi"/>
        </w:rPr>
      </w:pPr>
      <w:r w:rsidRPr="00B71544">
        <w:rPr>
          <w:rFonts w:cstheme="minorHAnsi"/>
        </w:rPr>
        <w:t>MAAE</w:t>
      </w:r>
      <w:r w:rsidRPr="00B71544">
        <w:rPr>
          <w:rFonts w:cstheme="minorHAnsi"/>
        </w:rPr>
        <w:tab/>
      </w:r>
      <w:r w:rsidRPr="00B71544">
        <w:rPr>
          <w:rFonts w:cstheme="minorHAnsi"/>
        </w:rPr>
        <w:tab/>
        <w:t>Mezinárodní agentura pro atomovou energii</w:t>
      </w:r>
    </w:p>
    <w:p w:rsidR="000178E5" w:rsidRPr="00B71544" w:rsidRDefault="000178E5" w:rsidP="00B71544">
      <w:pPr>
        <w:spacing w:after="120"/>
        <w:contextualSpacing/>
        <w:jc w:val="both"/>
        <w:rPr>
          <w:rFonts w:cstheme="minorHAnsi"/>
        </w:rPr>
      </w:pPr>
      <w:r w:rsidRPr="00B71544">
        <w:rPr>
          <w:rFonts w:cstheme="minorHAnsi"/>
        </w:rPr>
        <w:t>MDEP</w:t>
      </w:r>
      <w:r w:rsidRPr="00B71544">
        <w:rPr>
          <w:rFonts w:cstheme="minorHAnsi"/>
        </w:rPr>
        <w:tab/>
      </w:r>
      <w:r w:rsidRPr="00B71544">
        <w:rPr>
          <w:rFonts w:cstheme="minorHAnsi"/>
        </w:rPr>
        <w:tab/>
      </w:r>
      <w:proofErr w:type="spellStart"/>
      <w:r w:rsidRPr="00B71544">
        <w:rPr>
          <w:rFonts w:cstheme="minorHAnsi"/>
          <w:i/>
        </w:rPr>
        <w:t>Multinational</w:t>
      </w:r>
      <w:proofErr w:type="spellEnd"/>
      <w:r w:rsidRPr="00B71544">
        <w:rPr>
          <w:rFonts w:cstheme="minorHAnsi"/>
          <w:i/>
        </w:rPr>
        <w:t xml:space="preserve"> Design </w:t>
      </w:r>
      <w:proofErr w:type="spellStart"/>
      <w:r w:rsidRPr="00B71544">
        <w:rPr>
          <w:rFonts w:cstheme="minorHAnsi"/>
          <w:i/>
        </w:rPr>
        <w:t>Evaluation</w:t>
      </w:r>
      <w:proofErr w:type="spellEnd"/>
      <w:r w:rsidRPr="00B71544">
        <w:rPr>
          <w:rFonts w:cstheme="minorHAnsi"/>
          <w:i/>
        </w:rPr>
        <w:t xml:space="preserve"> </w:t>
      </w:r>
      <w:proofErr w:type="spellStart"/>
      <w:r w:rsidRPr="00B71544">
        <w:rPr>
          <w:rFonts w:cstheme="minorHAnsi"/>
          <w:i/>
        </w:rPr>
        <w:t>Programme</w:t>
      </w:r>
      <w:proofErr w:type="spellEnd"/>
    </w:p>
    <w:p w:rsidR="000178E5" w:rsidRPr="00B71544" w:rsidRDefault="000178E5" w:rsidP="00B71544">
      <w:pPr>
        <w:spacing w:after="120"/>
        <w:contextualSpacing/>
        <w:jc w:val="both"/>
        <w:rPr>
          <w:rFonts w:cstheme="minorHAnsi"/>
        </w:rPr>
      </w:pPr>
      <w:r w:rsidRPr="00B71544">
        <w:rPr>
          <w:rFonts w:cstheme="minorHAnsi"/>
        </w:rPr>
        <w:t>MF</w:t>
      </w:r>
      <w:r w:rsidRPr="00B71544">
        <w:rPr>
          <w:rFonts w:cstheme="minorHAnsi"/>
        </w:rPr>
        <w:tab/>
      </w:r>
      <w:r w:rsidRPr="00B71544">
        <w:rPr>
          <w:rFonts w:cstheme="minorHAnsi"/>
        </w:rPr>
        <w:tab/>
        <w:t>Ministerstvo financí</w:t>
      </w:r>
    </w:p>
    <w:p w:rsidR="000178E5" w:rsidRPr="00B71544" w:rsidRDefault="000178E5" w:rsidP="00B71544">
      <w:pPr>
        <w:spacing w:after="120"/>
        <w:contextualSpacing/>
        <w:jc w:val="both"/>
        <w:rPr>
          <w:rFonts w:cstheme="minorHAnsi"/>
        </w:rPr>
      </w:pPr>
      <w:r w:rsidRPr="00B71544">
        <w:rPr>
          <w:rFonts w:cstheme="minorHAnsi"/>
        </w:rPr>
        <w:t>MMR</w:t>
      </w:r>
      <w:r w:rsidRPr="00B71544">
        <w:rPr>
          <w:rFonts w:cstheme="minorHAnsi"/>
        </w:rPr>
        <w:tab/>
      </w:r>
      <w:r w:rsidRPr="00B71544">
        <w:rPr>
          <w:rFonts w:cstheme="minorHAnsi"/>
        </w:rPr>
        <w:tab/>
        <w:t>Ministerstvo pro místní rozvoj</w:t>
      </w:r>
    </w:p>
    <w:p w:rsidR="000178E5" w:rsidRPr="00B71544" w:rsidRDefault="000178E5" w:rsidP="00B71544">
      <w:pPr>
        <w:spacing w:after="120"/>
        <w:contextualSpacing/>
        <w:jc w:val="both"/>
        <w:rPr>
          <w:rFonts w:cstheme="minorHAnsi"/>
        </w:rPr>
      </w:pPr>
      <w:r w:rsidRPr="00B71544">
        <w:rPr>
          <w:rFonts w:cstheme="minorHAnsi"/>
        </w:rPr>
        <w:t>MOX</w:t>
      </w:r>
      <w:r w:rsidRPr="00B71544">
        <w:rPr>
          <w:rFonts w:cstheme="minorHAnsi"/>
        </w:rPr>
        <w:tab/>
      </w:r>
      <w:r w:rsidRPr="00B71544">
        <w:rPr>
          <w:rFonts w:cstheme="minorHAnsi"/>
        </w:rPr>
        <w:tab/>
      </w:r>
      <w:proofErr w:type="spellStart"/>
      <w:r w:rsidRPr="00B71544">
        <w:rPr>
          <w:rFonts w:cstheme="minorHAnsi"/>
          <w:i/>
        </w:rPr>
        <w:t>Mixed</w:t>
      </w:r>
      <w:proofErr w:type="spellEnd"/>
      <w:r w:rsidRPr="00B71544">
        <w:rPr>
          <w:rFonts w:cstheme="minorHAnsi"/>
          <w:i/>
        </w:rPr>
        <w:t xml:space="preserve"> oxide</w:t>
      </w:r>
    </w:p>
    <w:p w:rsidR="000178E5" w:rsidRPr="00B71544" w:rsidRDefault="000178E5" w:rsidP="00B71544">
      <w:pPr>
        <w:spacing w:after="120"/>
        <w:contextualSpacing/>
        <w:jc w:val="both"/>
        <w:rPr>
          <w:rFonts w:cstheme="minorHAnsi"/>
        </w:rPr>
      </w:pPr>
      <w:r w:rsidRPr="00B71544">
        <w:rPr>
          <w:rFonts w:cstheme="minorHAnsi"/>
        </w:rPr>
        <w:t>MPO</w:t>
      </w:r>
      <w:r w:rsidRPr="00B71544">
        <w:rPr>
          <w:rFonts w:cstheme="minorHAnsi"/>
        </w:rPr>
        <w:tab/>
      </w:r>
      <w:r w:rsidRPr="00B71544">
        <w:rPr>
          <w:rFonts w:cstheme="minorHAnsi"/>
        </w:rPr>
        <w:tab/>
        <w:t>Ministerstvo průmyslu a obchodu</w:t>
      </w:r>
    </w:p>
    <w:p w:rsidR="000178E5" w:rsidRPr="00B71544" w:rsidRDefault="000178E5" w:rsidP="00B71544">
      <w:pPr>
        <w:spacing w:after="120"/>
        <w:contextualSpacing/>
        <w:jc w:val="both"/>
        <w:rPr>
          <w:rFonts w:cstheme="minorHAnsi"/>
        </w:rPr>
      </w:pPr>
      <w:r w:rsidRPr="00B71544">
        <w:rPr>
          <w:rFonts w:cstheme="minorHAnsi"/>
        </w:rPr>
        <w:t>MSR</w:t>
      </w:r>
      <w:r w:rsidRPr="00B71544">
        <w:rPr>
          <w:rFonts w:cstheme="minorHAnsi"/>
        </w:rPr>
        <w:tab/>
      </w:r>
      <w:r w:rsidRPr="00B71544">
        <w:rPr>
          <w:rFonts w:cstheme="minorHAnsi"/>
        </w:rPr>
        <w:tab/>
      </w:r>
      <w:r w:rsidRPr="00B71544">
        <w:rPr>
          <w:rFonts w:cstheme="minorHAnsi"/>
          <w:i/>
        </w:rPr>
        <w:t xml:space="preserve">Market Stability </w:t>
      </w:r>
      <w:proofErr w:type="spellStart"/>
      <w:r w:rsidRPr="00B71544">
        <w:rPr>
          <w:rFonts w:cstheme="minorHAnsi"/>
          <w:i/>
        </w:rPr>
        <w:t>Reserve</w:t>
      </w:r>
      <w:proofErr w:type="spellEnd"/>
      <w:r w:rsidRPr="00B71544">
        <w:rPr>
          <w:rFonts w:cstheme="minorHAnsi"/>
        </w:rPr>
        <w:t xml:space="preserve"> (tržní stabilizační rezerva)</w:t>
      </w:r>
    </w:p>
    <w:p w:rsidR="000178E5" w:rsidRPr="000178E5" w:rsidRDefault="000178E5" w:rsidP="00B71544">
      <w:pPr>
        <w:spacing w:after="120"/>
        <w:contextualSpacing/>
        <w:jc w:val="both"/>
        <w:rPr>
          <w:rFonts w:cstheme="minorHAnsi"/>
        </w:rPr>
      </w:pPr>
      <w:r w:rsidRPr="00B71544">
        <w:rPr>
          <w:rFonts w:cstheme="minorHAnsi"/>
        </w:rPr>
        <w:t>MŠMT</w:t>
      </w:r>
      <w:r w:rsidRPr="00B71544">
        <w:rPr>
          <w:rFonts w:cstheme="minorHAnsi"/>
        </w:rPr>
        <w:tab/>
      </w:r>
      <w:r w:rsidRPr="00B71544">
        <w:rPr>
          <w:rFonts w:cstheme="minorHAnsi"/>
        </w:rPr>
        <w:tab/>
        <w:t>Ministerstvo školství, mládeže a tělovýc</w:t>
      </w:r>
      <w:r w:rsidRPr="000178E5">
        <w:rPr>
          <w:rFonts w:cstheme="minorHAnsi"/>
        </w:rPr>
        <w:t>hovy</w:t>
      </w:r>
    </w:p>
    <w:p w:rsidR="000178E5" w:rsidRPr="000178E5" w:rsidRDefault="000178E5" w:rsidP="00B71544">
      <w:pPr>
        <w:spacing w:after="120"/>
        <w:contextualSpacing/>
        <w:jc w:val="both"/>
        <w:rPr>
          <w:rFonts w:cstheme="minorHAnsi"/>
        </w:rPr>
      </w:pPr>
      <w:r w:rsidRPr="000178E5">
        <w:rPr>
          <w:rFonts w:cstheme="minorHAnsi"/>
        </w:rPr>
        <w:t>MZV</w:t>
      </w:r>
      <w:r w:rsidRPr="000178E5">
        <w:rPr>
          <w:rFonts w:cstheme="minorHAnsi"/>
        </w:rPr>
        <w:tab/>
      </w:r>
      <w:r w:rsidRPr="000178E5">
        <w:rPr>
          <w:rFonts w:cstheme="minorHAnsi"/>
        </w:rPr>
        <w:tab/>
        <w:t>Ministerstvo zahraničních věcí</w:t>
      </w:r>
    </w:p>
    <w:p w:rsidR="000178E5" w:rsidRPr="000178E5" w:rsidRDefault="000178E5" w:rsidP="00B71544">
      <w:pPr>
        <w:spacing w:after="120"/>
        <w:contextualSpacing/>
        <w:jc w:val="both"/>
        <w:rPr>
          <w:rFonts w:cstheme="minorHAnsi"/>
        </w:rPr>
      </w:pPr>
      <w:r w:rsidRPr="000178E5">
        <w:rPr>
          <w:rFonts w:cstheme="minorHAnsi"/>
        </w:rPr>
        <w:t>MŽP</w:t>
      </w:r>
      <w:r w:rsidRPr="000178E5">
        <w:rPr>
          <w:rFonts w:cstheme="minorHAnsi"/>
        </w:rPr>
        <w:tab/>
      </w:r>
      <w:r w:rsidRPr="000178E5">
        <w:rPr>
          <w:rFonts w:cstheme="minorHAnsi"/>
        </w:rPr>
        <w:tab/>
        <w:t>Ministerstvo životního prostředí</w:t>
      </w:r>
    </w:p>
    <w:p w:rsidR="000178E5" w:rsidRPr="000178E5" w:rsidRDefault="000178E5" w:rsidP="00B71544">
      <w:pPr>
        <w:spacing w:after="120"/>
        <w:contextualSpacing/>
        <w:jc w:val="both"/>
        <w:rPr>
          <w:rFonts w:cstheme="minorHAnsi"/>
        </w:rPr>
      </w:pPr>
      <w:r w:rsidRPr="000178E5">
        <w:rPr>
          <w:rFonts w:cstheme="minorHAnsi"/>
        </w:rPr>
        <w:t>NACE</w:t>
      </w:r>
      <w:r w:rsidRPr="000178E5">
        <w:rPr>
          <w:rFonts w:cstheme="minorHAnsi"/>
        </w:rPr>
        <w:tab/>
      </w:r>
      <w:r w:rsidRPr="000178E5">
        <w:rPr>
          <w:rFonts w:cstheme="minorHAnsi"/>
        </w:rPr>
        <w:tab/>
        <w:t>Klasifikace ekonomických činností</w:t>
      </w:r>
    </w:p>
    <w:p w:rsidR="000178E5" w:rsidRPr="000178E5" w:rsidRDefault="000178E5" w:rsidP="00B71544">
      <w:pPr>
        <w:spacing w:after="120"/>
        <w:contextualSpacing/>
        <w:jc w:val="both"/>
        <w:rPr>
          <w:rFonts w:cstheme="minorHAnsi"/>
        </w:rPr>
      </w:pPr>
      <w:r w:rsidRPr="000178E5">
        <w:rPr>
          <w:rFonts w:cstheme="minorHAnsi"/>
        </w:rPr>
        <w:t>NAO</w:t>
      </w:r>
      <w:r w:rsidRPr="000178E5">
        <w:rPr>
          <w:rFonts w:cstheme="minorHAnsi"/>
        </w:rPr>
        <w:tab/>
      </w:r>
      <w:r w:rsidRPr="000178E5">
        <w:rPr>
          <w:rFonts w:cstheme="minorHAnsi"/>
        </w:rPr>
        <w:tab/>
        <w:t>nízkoaktivní odpad</w:t>
      </w:r>
    </w:p>
    <w:p w:rsidR="000178E5" w:rsidRPr="000178E5" w:rsidRDefault="000178E5" w:rsidP="00B71544">
      <w:pPr>
        <w:spacing w:after="120"/>
        <w:contextualSpacing/>
        <w:jc w:val="both"/>
        <w:rPr>
          <w:rFonts w:cstheme="minorHAnsi"/>
        </w:rPr>
      </w:pPr>
      <w:r w:rsidRPr="000178E5">
        <w:rPr>
          <w:rFonts w:cstheme="minorHAnsi"/>
        </w:rPr>
        <w:t>NAP JE</w:t>
      </w:r>
      <w:r w:rsidRPr="000178E5">
        <w:rPr>
          <w:rFonts w:cstheme="minorHAnsi"/>
        </w:rPr>
        <w:tab/>
      </w:r>
      <w:r w:rsidRPr="000178E5">
        <w:rPr>
          <w:rFonts w:cstheme="minorHAnsi"/>
        </w:rPr>
        <w:tab/>
        <w:t>Národní akční plán rozvoje jaderné energetiky v ČR</w:t>
      </w:r>
    </w:p>
    <w:p w:rsidR="000178E5" w:rsidRPr="000178E5" w:rsidRDefault="000178E5" w:rsidP="00B71544">
      <w:pPr>
        <w:spacing w:after="120"/>
        <w:contextualSpacing/>
        <w:jc w:val="both"/>
        <w:rPr>
          <w:rFonts w:cstheme="minorHAnsi"/>
        </w:rPr>
      </w:pPr>
      <w:r w:rsidRPr="000178E5">
        <w:rPr>
          <w:rFonts w:cstheme="minorHAnsi"/>
        </w:rPr>
        <w:t>NATO</w:t>
      </w:r>
      <w:r w:rsidRPr="000178E5">
        <w:rPr>
          <w:rFonts w:cstheme="minorHAnsi"/>
        </w:rPr>
        <w:tab/>
      </w:r>
      <w:r w:rsidRPr="000178E5">
        <w:rPr>
          <w:rFonts w:cstheme="minorHAnsi"/>
        </w:rPr>
        <w:tab/>
      </w:r>
      <w:proofErr w:type="spellStart"/>
      <w:r w:rsidRPr="000178E5">
        <w:rPr>
          <w:rFonts w:cstheme="minorHAnsi"/>
          <w:i/>
        </w:rPr>
        <w:t>North</w:t>
      </w:r>
      <w:proofErr w:type="spellEnd"/>
      <w:r w:rsidRPr="000178E5">
        <w:rPr>
          <w:rFonts w:cstheme="minorHAnsi"/>
          <w:i/>
        </w:rPr>
        <w:t xml:space="preserve"> </w:t>
      </w:r>
      <w:proofErr w:type="spellStart"/>
      <w:r w:rsidRPr="000178E5">
        <w:rPr>
          <w:rFonts w:cstheme="minorHAnsi"/>
          <w:i/>
        </w:rPr>
        <w:t>Atlantic</w:t>
      </w:r>
      <w:proofErr w:type="spellEnd"/>
      <w:r w:rsidRPr="000178E5">
        <w:rPr>
          <w:rFonts w:cstheme="minorHAnsi"/>
          <w:i/>
        </w:rPr>
        <w:t xml:space="preserve"> </w:t>
      </w:r>
      <w:proofErr w:type="spellStart"/>
      <w:r w:rsidRPr="000178E5">
        <w:rPr>
          <w:rFonts w:cstheme="minorHAnsi"/>
          <w:i/>
        </w:rPr>
        <w:t>Treaty</w:t>
      </w:r>
      <w:proofErr w:type="spellEnd"/>
      <w:r w:rsidRPr="000178E5">
        <w:rPr>
          <w:rFonts w:cstheme="minorHAnsi"/>
          <w:i/>
        </w:rPr>
        <w:t xml:space="preserve"> </w:t>
      </w:r>
      <w:proofErr w:type="spellStart"/>
      <w:r w:rsidRPr="000178E5">
        <w:rPr>
          <w:rFonts w:cstheme="minorHAnsi"/>
          <w:i/>
        </w:rPr>
        <w:t>Organization</w:t>
      </w:r>
      <w:proofErr w:type="spellEnd"/>
      <w:r w:rsidRPr="000178E5">
        <w:rPr>
          <w:rFonts w:cstheme="minorHAnsi"/>
        </w:rPr>
        <w:t xml:space="preserve"> (Severoatlantická aliance)</w:t>
      </w:r>
    </w:p>
    <w:p w:rsidR="000178E5" w:rsidRPr="000178E5" w:rsidRDefault="000178E5" w:rsidP="00B71544">
      <w:pPr>
        <w:spacing w:after="120"/>
        <w:contextualSpacing/>
        <w:jc w:val="both"/>
        <w:rPr>
          <w:rFonts w:cstheme="minorHAnsi"/>
        </w:rPr>
      </w:pPr>
      <w:r w:rsidRPr="000178E5">
        <w:rPr>
          <w:rFonts w:cstheme="minorHAnsi"/>
        </w:rPr>
        <w:t>NEA</w:t>
      </w:r>
      <w:r w:rsidRPr="000178E5">
        <w:rPr>
          <w:rFonts w:cstheme="minorHAnsi"/>
        </w:rPr>
        <w:tab/>
      </w:r>
      <w:r w:rsidRPr="000178E5">
        <w:rPr>
          <w:rFonts w:cstheme="minorHAnsi"/>
        </w:rPr>
        <w:tab/>
      </w:r>
      <w:proofErr w:type="spellStart"/>
      <w:r w:rsidRPr="000178E5">
        <w:rPr>
          <w:rFonts w:cstheme="minorHAnsi"/>
          <w:i/>
        </w:rPr>
        <w:t>Nuclear</w:t>
      </w:r>
      <w:proofErr w:type="spellEnd"/>
      <w:r w:rsidRPr="000178E5">
        <w:rPr>
          <w:rFonts w:cstheme="minorHAnsi"/>
          <w:i/>
        </w:rPr>
        <w:t xml:space="preserve"> </w:t>
      </w:r>
      <w:proofErr w:type="spellStart"/>
      <w:r w:rsidRPr="000178E5">
        <w:rPr>
          <w:rFonts w:cstheme="minorHAnsi"/>
          <w:i/>
        </w:rPr>
        <w:t>Energy</w:t>
      </w:r>
      <w:proofErr w:type="spellEnd"/>
      <w:r w:rsidRPr="000178E5">
        <w:rPr>
          <w:rFonts w:cstheme="minorHAnsi"/>
          <w:i/>
        </w:rPr>
        <w:t xml:space="preserve"> </w:t>
      </w:r>
      <w:proofErr w:type="spellStart"/>
      <w:r w:rsidRPr="000178E5">
        <w:rPr>
          <w:rFonts w:cstheme="minorHAnsi"/>
          <w:i/>
        </w:rPr>
        <w:t>Agency</w:t>
      </w:r>
      <w:proofErr w:type="spellEnd"/>
      <w:r w:rsidRPr="000178E5">
        <w:rPr>
          <w:rFonts w:cstheme="minorHAnsi"/>
        </w:rPr>
        <w:t xml:space="preserve"> (Agentura pro jadernou energii)</w:t>
      </w:r>
    </w:p>
    <w:p w:rsidR="000178E5" w:rsidRPr="000178E5" w:rsidRDefault="000178E5" w:rsidP="00B71544">
      <w:pPr>
        <w:spacing w:after="120"/>
        <w:contextualSpacing/>
        <w:jc w:val="both"/>
        <w:rPr>
          <w:rFonts w:cstheme="minorHAnsi"/>
        </w:rPr>
      </w:pPr>
      <w:r w:rsidRPr="000178E5">
        <w:rPr>
          <w:rFonts w:cstheme="minorHAnsi"/>
        </w:rPr>
        <w:t>NJZ</w:t>
      </w:r>
      <w:r w:rsidRPr="000178E5">
        <w:rPr>
          <w:rFonts w:cstheme="minorHAnsi"/>
        </w:rPr>
        <w:tab/>
      </w:r>
      <w:r w:rsidRPr="000178E5">
        <w:rPr>
          <w:rFonts w:cstheme="minorHAnsi"/>
        </w:rPr>
        <w:tab/>
        <w:t>nový jaderný zdroj</w:t>
      </w:r>
    </w:p>
    <w:p w:rsidR="000178E5" w:rsidRPr="000178E5" w:rsidRDefault="000178E5" w:rsidP="00B71544">
      <w:pPr>
        <w:spacing w:after="120"/>
        <w:ind w:left="1410" w:hanging="1410"/>
        <w:contextualSpacing/>
        <w:jc w:val="both"/>
        <w:rPr>
          <w:rFonts w:cstheme="minorHAnsi"/>
        </w:rPr>
      </w:pPr>
      <w:r w:rsidRPr="000178E5">
        <w:rPr>
          <w:rFonts w:cstheme="minorHAnsi"/>
          <w:bCs/>
        </w:rPr>
        <w:t>NUGENIA</w:t>
      </w:r>
      <w:r w:rsidRPr="000178E5">
        <w:rPr>
          <w:rFonts w:cstheme="minorHAnsi"/>
          <w:bCs/>
        </w:rPr>
        <w:tab/>
      </w:r>
      <w:proofErr w:type="spellStart"/>
      <w:r w:rsidRPr="000178E5">
        <w:rPr>
          <w:rFonts w:cstheme="minorHAnsi"/>
          <w:bCs/>
          <w:i/>
        </w:rPr>
        <w:t>Nuclear</w:t>
      </w:r>
      <w:proofErr w:type="spellEnd"/>
      <w:r w:rsidRPr="000178E5">
        <w:rPr>
          <w:rFonts w:cstheme="minorHAnsi"/>
          <w:bCs/>
          <w:i/>
        </w:rPr>
        <w:t xml:space="preserve"> </w:t>
      </w:r>
      <w:proofErr w:type="spellStart"/>
      <w:r w:rsidRPr="000178E5">
        <w:rPr>
          <w:rFonts w:cstheme="minorHAnsi"/>
          <w:bCs/>
          <w:i/>
        </w:rPr>
        <w:t>Generation</w:t>
      </w:r>
      <w:proofErr w:type="spellEnd"/>
      <w:r w:rsidRPr="000178E5">
        <w:rPr>
          <w:rFonts w:cstheme="minorHAnsi"/>
          <w:bCs/>
          <w:i/>
        </w:rPr>
        <w:t xml:space="preserve"> II &amp; III </w:t>
      </w:r>
      <w:proofErr w:type="spellStart"/>
      <w:r w:rsidRPr="000178E5">
        <w:rPr>
          <w:rFonts w:cstheme="minorHAnsi"/>
          <w:bCs/>
          <w:i/>
        </w:rPr>
        <w:t>Association</w:t>
      </w:r>
      <w:proofErr w:type="spellEnd"/>
      <w:r w:rsidRPr="000178E5">
        <w:rPr>
          <w:rFonts w:cstheme="minorHAnsi"/>
          <w:bCs/>
        </w:rPr>
        <w:t xml:space="preserve"> (Asociace pro spolupráci v oblasti výzkumu a vývoje zaměřené na jaderných elektráren II. a III. generace)</w:t>
      </w:r>
    </w:p>
    <w:p w:rsidR="000178E5" w:rsidRPr="000178E5" w:rsidRDefault="000178E5" w:rsidP="00B71544">
      <w:pPr>
        <w:spacing w:after="120"/>
        <w:ind w:left="1410" w:hanging="1410"/>
        <w:contextualSpacing/>
        <w:jc w:val="both"/>
        <w:rPr>
          <w:rFonts w:cstheme="minorHAnsi"/>
        </w:rPr>
      </w:pPr>
      <w:r w:rsidRPr="000178E5">
        <w:rPr>
          <w:rFonts w:cstheme="minorHAnsi"/>
        </w:rPr>
        <w:t>OBK</w:t>
      </w:r>
      <w:r w:rsidRPr="000178E5">
        <w:rPr>
          <w:rFonts w:cstheme="minorHAnsi"/>
        </w:rPr>
        <w:tab/>
        <w:t>Občanská bezpečnostní komise</w:t>
      </w:r>
    </w:p>
    <w:p w:rsidR="000178E5" w:rsidRPr="000178E5" w:rsidRDefault="000178E5" w:rsidP="00B71544">
      <w:pPr>
        <w:spacing w:after="120"/>
        <w:ind w:left="1410" w:hanging="1410"/>
        <w:contextualSpacing/>
        <w:jc w:val="both"/>
        <w:rPr>
          <w:rFonts w:cstheme="minorHAnsi"/>
        </w:rPr>
      </w:pPr>
      <w:r w:rsidRPr="000178E5">
        <w:rPr>
          <w:rFonts w:cstheme="minorHAnsi"/>
        </w:rPr>
        <w:lastRenderedPageBreak/>
        <w:t>OECD</w:t>
      </w:r>
      <w:r w:rsidRPr="000178E5">
        <w:rPr>
          <w:rFonts w:cstheme="minorHAnsi"/>
        </w:rPr>
        <w:tab/>
      </w:r>
      <w:proofErr w:type="spellStart"/>
      <w:r w:rsidRPr="000178E5">
        <w:rPr>
          <w:rFonts w:cstheme="minorHAnsi"/>
          <w:i/>
        </w:rPr>
        <w:t>Organisation</w:t>
      </w:r>
      <w:proofErr w:type="spellEnd"/>
      <w:r w:rsidRPr="000178E5">
        <w:rPr>
          <w:rFonts w:cstheme="minorHAnsi"/>
          <w:i/>
        </w:rPr>
        <w:t xml:space="preserve"> </w:t>
      </w:r>
      <w:proofErr w:type="spellStart"/>
      <w:r w:rsidRPr="000178E5">
        <w:rPr>
          <w:rFonts w:cstheme="minorHAnsi"/>
          <w:i/>
        </w:rPr>
        <w:t>for</w:t>
      </w:r>
      <w:proofErr w:type="spellEnd"/>
      <w:r w:rsidRPr="000178E5">
        <w:rPr>
          <w:rFonts w:cstheme="minorHAnsi"/>
          <w:i/>
        </w:rPr>
        <w:t xml:space="preserve"> </w:t>
      </w:r>
      <w:proofErr w:type="spellStart"/>
      <w:r w:rsidRPr="000178E5">
        <w:rPr>
          <w:rFonts w:cstheme="minorHAnsi"/>
          <w:i/>
        </w:rPr>
        <w:t>Economic</w:t>
      </w:r>
      <w:proofErr w:type="spellEnd"/>
      <w:r w:rsidRPr="000178E5">
        <w:rPr>
          <w:rFonts w:cstheme="minorHAnsi"/>
          <w:i/>
        </w:rPr>
        <w:t xml:space="preserve"> Co-</w:t>
      </w:r>
      <w:proofErr w:type="spellStart"/>
      <w:r w:rsidRPr="000178E5">
        <w:rPr>
          <w:rFonts w:cstheme="minorHAnsi"/>
          <w:i/>
        </w:rPr>
        <w:t>operation</w:t>
      </w:r>
      <w:proofErr w:type="spellEnd"/>
      <w:r w:rsidRPr="000178E5">
        <w:rPr>
          <w:rFonts w:cstheme="minorHAnsi"/>
          <w:i/>
        </w:rPr>
        <w:t xml:space="preserve"> and </w:t>
      </w:r>
      <w:proofErr w:type="spellStart"/>
      <w:r w:rsidRPr="000178E5">
        <w:rPr>
          <w:rFonts w:cstheme="minorHAnsi"/>
          <w:i/>
        </w:rPr>
        <w:t>Development</w:t>
      </w:r>
      <w:proofErr w:type="spellEnd"/>
      <w:r w:rsidRPr="000178E5">
        <w:rPr>
          <w:rFonts w:cstheme="minorHAnsi"/>
        </w:rPr>
        <w:t xml:space="preserve"> (Organizace pro hospodářskou spolupráci a rozvoj)</w:t>
      </w:r>
    </w:p>
    <w:p w:rsidR="000178E5" w:rsidRPr="000178E5" w:rsidRDefault="000178E5" w:rsidP="00B71544">
      <w:pPr>
        <w:spacing w:after="120"/>
        <w:contextualSpacing/>
        <w:jc w:val="both"/>
        <w:rPr>
          <w:rFonts w:cstheme="minorHAnsi"/>
        </w:rPr>
      </w:pPr>
      <w:r w:rsidRPr="000178E5">
        <w:rPr>
          <w:rFonts w:cstheme="minorHAnsi"/>
        </w:rPr>
        <w:t>OZE</w:t>
      </w:r>
      <w:r w:rsidRPr="000178E5">
        <w:rPr>
          <w:rFonts w:cstheme="minorHAnsi"/>
        </w:rPr>
        <w:tab/>
      </w:r>
      <w:r w:rsidRPr="000178E5">
        <w:rPr>
          <w:rFonts w:cstheme="minorHAnsi"/>
        </w:rPr>
        <w:tab/>
        <w:t>obnovitelné zdroje energie</w:t>
      </w:r>
    </w:p>
    <w:p w:rsidR="000178E5" w:rsidRPr="000178E5" w:rsidRDefault="000178E5" w:rsidP="00B71544">
      <w:pPr>
        <w:spacing w:after="120"/>
        <w:contextualSpacing/>
        <w:jc w:val="both"/>
        <w:rPr>
          <w:rFonts w:cstheme="minorHAnsi"/>
        </w:rPr>
      </w:pPr>
      <w:r w:rsidRPr="000178E5">
        <w:rPr>
          <w:rFonts w:cstheme="minorHAnsi"/>
        </w:rPr>
        <w:t>RAO</w:t>
      </w:r>
      <w:r w:rsidRPr="000178E5">
        <w:rPr>
          <w:rFonts w:cstheme="minorHAnsi"/>
        </w:rPr>
        <w:tab/>
      </w:r>
      <w:r w:rsidRPr="000178E5">
        <w:rPr>
          <w:rFonts w:cstheme="minorHAnsi"/>
        </w:rPr>
        <w:tab/>
        <w:t>radioaktivní odpad</w:t>
      </w:r>
    </w:p>
    <w:p w:rsidR="000178E5" w:rsidRPr="000178E5" w:rsidRDefault="000178E5" w:rsidP="00B71544">
      <w:pPr>
        <w:spacing w:after="120"/>
        <w:contextualSpacing/>
        <w:jc w:val="both"/>
        <w:rPr>
          <w:rFonts w:cstheme="minorHAnsi"/>
        </w:rPr>
      </w:pPr>
      <w:r w:rsidRPr="000178E5">
        <w:rPr>
          <w:rFonts w:cstheme="minorHAnsi"/>
        </w:rPr>
        <w:t>SAO</w:t>
      </w:r>
      <w:r w:rsidRPr="000178E5">
        <w:rPr>
          <w:rFonts w:cstheme="minorHAnsi"/>
        </w:rPr>
        <w:tab/>
      </w:r>
      <w:r w:rsidRPr="000178E5">
        <w:rPr>
          <w:rFonts w:cstheme="minorHAnsi"/>
        </w:rPr>
        <w:tab/>
        <w:t>středněaktivní odpad</w:t>
      </w:r>
    </w:p>
    <w:p w:rsidR="000178E5" w:rsidRPr="000178E5" w:rsidRDefault="000178E5" w:rsidP="00B71544">
      <w:pPr>
        <w:spacing w:after="120"/>
        <w:contextualSpacing/>
        <w:jc w:val="both"/>
        <w:rPr>
          <w:rFonts w:cstheme="minorHAnsi"/>
        </w:rPr>
      </w:pPr>
      <w:r w:rsidRPr="000178E5">
        <w:rPr>
          <w:rFonts w:cstheme="minorHAnsi"/>
        </w:rPr>
        <w:t>SDR</w:t>
      </w:r>
      <w:r w:rsidRPr="000178E5">
        <w:rPr>
          <w:rFonts w:cstheme="minorHAnsi"/>
        </w:rPr>
        <w:tab/>
      </w:r>
      <w:r w:rsidRPr="000178E5">
        <w:rPr>
          <w:rFonts w:cstheme="minorHAnsi"/>
        </w:rPr>
        <w:tab/>
      </w:r>
      <w:proofErr w:type="spellStart"/>
      <w:r w:rsidRPr="000178E5">
        <w:rPr>
          <w:rFonts w:cstheme="minorHAnsi"/>
          <w:i/>
        </w:rPr>
        <w:t>Special</w:t>
      </w:r>
      <w:proofErr w:type="spellEnd"/>
      <w:r w:rsidRPr="000178E5">
        <w:rPr>
          <w:rFonts w:cstheme="minorHAnsi"/>
          <w:i/>
        </w:rPr>
        <w:t xml:space="preserve"> </w:t>
      </w:r>
      <w:proofErr w:type="spellStart"/>
      <w:r w:rsidRPr="000178E5">
        <w:rPr>
          <w:rFonts w:cstheme="minorHAnsi"/>
          <w:i/>
        </w:rPr>
        <w:t>Drawing</w:t>
      </w:r>
      <w:proofErr w:type="spellEnd"/>
      <w:r w:rsidRPr="000178E5">
        <w:rPr>
          <w:rFonts w:cstheme="minorHAnsi"/>
          <w:i/>
        </w:rPr>
        <w:t xml:space="preserve"> </w:t>
      </w:r>
      <w:proofErr w:type="spellStart"/>
      <w:r w:rsidRPr="000178E5">
        <w:rPr>
          <w:rFonts w:cstheme="minorHAnsi"/>
          <w:i/>
        </w:rPr>
        <w:t>Rights</w:t>
      </w:r>
      <w:proofErr w:type="spellEnd"/>
    </w:p>
    <w:p w:rsidR="000178E5" w:rsidRPr="000178E5" w:rsidRDefault="000178E5" w:rsidP="00B71544">
      <w:pPr>
        <w:spacing w:after="120"/>
        <w:contextualSpacing/>
        <w:jc w:val="both"/>
        <w:rPr>
          <w:rFonts w:cstheme="minorHAnsi"/>
        </w:rPr>
      </w:pPr>
      <w:r w:rsidRPr="000178E5">
        <w:rPr>
          <w:rFonts w:cstheme="minorHAnsi"/>
        </w:rPr>
        <w:t>SEA</w:t>
      </w:r>
      <w:r w:rsidRPr="000178E5">
        <w:rPr>
          <w:rFonts w:cstheme="minorHAnsi"/>
        </w:rPr>
        <w:tab/>
      </w:r>
      <w:r w:rsidRPr="000178E5">
        <w:rPr>
          <w:rFonts w:cstheme="minorHAnsi"/>
        </w:rPr>
        <w:tab/>
      </w:r>
      <w:proofErr w:type="spellStart"/>
      <w:r w:rsidRPr="000178E5">
        <w:rPr>
          <w:rFonts w:cstheme="minorHAnsi"/>
          <w:i/>
        </w:rPr>
        <w:t>Strategic</w:t>
      </w:r>
      <w:proofErr w:type="spellEnd"/>
      <w:r w:rsidRPr="000178E5">
        <w:rPr>
          <w:rFonts w:cstheme="minorHAnsi"/>
          <w:i/>
        </w:rPr>
        <w:t xml:space="preserve"> </w:t>
      </w:r>
      <w:proofErr w:type="spellStart"/>
      <w:r w:rsidRPr="000178E5">
        <w:rPr>
          <w:rFonts w:cstheme="minorHAnsi"/>
          <w:i/>
        </w:rPr>
        <w:t>Environmental</w:t>
      </w:r>
      <w:proofErr w:type="spellEnd"/>
      <w:r w:rsidRPr="000178E5">
        <w:rPr>
          <w:rFonts w:cstheme="minorHAnsi"/>
          <w:i/>
        </w:rPr>
        <w:t xml:space="preserve"> </w:t>
      </w:r>
      <w:proofErr w:type="spellStart"/>
      <w:r w:rsidRPr="000178E5">
        <w:rPr>
          <w:rFonts w:cstheme="minorHAnsi"/>
          <w:i/>
        </w:rPr>
        <w:t>Assessment</w:t>
      </w:r>
      <w:proofErr w:type="spellEnd"/>
      <w:r w:rsidRPr="000178E5">
        <w:rPr>
          <w:rFonts w:cstheme="minorHAnsi"/>
        </w:rPr>
        <w:t xml:space="preserve"> (posuzování vlivů koncepcí na životní prostředí)</w:t>
      </w:r>
    </w:p>
    <w:p w:rsidR="000178E5" w:rsidRPr="000178E5" w:rsidRDefault="000178E5" w:rsidP="00B71544">
      <w:pPr>
        <w:spacing w:after="120"/>
        <w:contextualSpacing/>
        <w:jc w:val="both"/>
        <w:rPr>
          <w:rFonts w:cstheme="minorHAnsi"/>
        </w:rPr>
      </w:pPr>
      <w:r w:rsidRPr="000178E5">
        <w:rPr>
          <w:rFonts w:cstheme="minorHAnsi"/>
        </w:rPr>
        <w:t>SEK</w:t>
      </w:r>
      <w:r w:rsidRPr="000178E5">
        <w:rPr>
          <w:rFonts w:cstheme="minorHAnsi"/>
        </w:rPr>
        <w:tab/>
      </w:r>
      <w:r w:rsidRPr="000178E5">
        <w:rPr>
          <w:rFonts w:cstheme="minorHAnsi"/>
        </w:rPr>
        <w:tab/>
        <w:t>Státní energetická koncepce</w:t>
      </w:r>
    </w:p>
    <w:p w:rsidR="000178E5" w:rsidRPr="000178E5" w:rsidRDefault="000178E5" w:rsidP="00B71544">
      <w:pPr>
        <w:spacing w:after="120"/>
        <w:contextualSpacing/>
        <w:jc w:val="both"/>
        <w:rPr>
          <w:rFonts w:cstheme="minorHAnsi"/>
        </w:rPr>
      </w:pPr>
      <w:r w:rsidRPr="000178E5">
        <w:rPr>
          <w:rFonts w:cstheme="minorHAnsi"/>
        </w:rPr>
        <w:t>SNETP</w:t>
      </w:r>
      <w:r w:rsidRPr="000178E5">
        <w:rPr>
          <w:rFonts w:cstheme="minorHAnsi"/>
        </w:rPr>
        <w:tab/>
      </w:r>
      <w:r w:rsidRPr="000178E5">
        <w:rPr>
          <w:rFonts w:cstheme="minorHAnsi"/>
        </w:rPr>
        <w:tab/>
      </w:r>
      <w:proofErr w:type="spellStart"/>
      <w:r w:rsidRPr="000178E5">
        <w:rPr>
          <w:rFonts w:cstheme="minorHAnsi"/>
          <w:i/>
        </w:rPr>
        <w:t>Sustainable</w:t>
      </w:r>
      <w:proofErr w:type="spellEnd"/>
      <w:r w:rsidRPr="000178E5">
        <w:rPr>
          <w:rFonts w:cstheme="minorHAnsi"/>
          <w:i/>
        </w:rPr>
        <w:t xml:space="preserve"> </w:t>
      </w:r>
      <w:proofErr w:type="spellStart"/>
      <w:r w:rsidRPr="000178E5">
        <w:rPr>
          <w:rFonts w:cstheme="minorHAnsi"/>
          <w:i/>
        </w:rPr>
        <w:t>Nuclear</w:t>
      </w:r>
      <w:proofErr w:type="spellEnd"/>
      <w:r w:rsidRPr="000178E5">
        <w:rPr>
          <w:rFonts w:cstheme="minorHAnsi"/>
          <w:i/>
        </w:rPr>
        <w:t xml:space="preserve"> </w:t>
      </w:r>
      <w:proofErr w:type="spellStart"/>
      <w:r w:rsidRPr="000178E5">
        <w:rPr>
          <w:rFonts w:cstheme="minorHAnsi"/>
          <w:i/>
        </w:rPr>
        <w:t>Energy</w:t>
      </w:r>
      <w:proofErr w:type="spellEnd"/>
      <w:r w:rsidRPr="000178E5">
        <w:rPr>
          <w:rFonts w:cstheme="minorHAnsi"/>
          <w:i/>
        </w:rPr>
        <w:t xml:space="preserve"> Technology </w:t>
      </w:r>
      <w:proofErr w:type="spellStart"/>
      <w:r w:rsidRPr="000178E5">
        <w:rPr>
          <w:rFonts w:cstheme="minorHAnsi"/>
          <w:i/>
        </w:rPr>
        <w:t>Platform</w:t>
      </w:r>
      <w:proofErr w:type="spellEnd"/>
    </w:p>
    <w:p w:rsidR="000178E5" w:rsidRPr="000178E5" w:rsidRDefault="000178E5" w:rsidP="00B71544">
      <w:pPr>
        <w:spacing w:after="120"/>
        <w:contextualSpacing/>
        <w:jc w:val="both"/>
        <w:rPr>
          <w:rFonts w:cstheme="minorHAnsi"/>
        </w:rPr>
      </w:pPr>
      <w:r w:rsidRPr="000178E5">
        <w:rPr>
          <w:rFonts w:cstheme="minorHAnsi"/>
        </w:rPr>
        <w:t>SP 1988</w:t>
      </w:r>
      <w:r w:rsidRPr="000178E5">
        <w:rPr>
          <w:rFonts w:cstheme="minorHAnsi"/>
        </w:rPr>
        <w:tab/>
        <w:t>Společný protokol o aplikaci Vídeňské a Pařížské úmluvy z roku 1988</w:t>
      </w:r>
    </w:p>
    <w:p w:rsidR="000178E5" w:rsidRPr="000178E5" w:rsidRDefault="000178E5" w:rsidP="00B71544">
      <w:pPr>
        <w:spacing w:after="120"/>
        <w:contextualSpacing/>
        <w:jc w:val="both"/>
        <w:rPr>
          <w:rFonts w:cstheme="minorHAnsi"/>
        </w:rPr>
      </w:pPr>
      <w:r w:rsidRPr="000178E5">
        <w:rPr>
          <w:rFonts w:cstheme="minorHAnsi"/>
        </w:rPr>
        <w:t>SPV</w:t>
      </w:r>
      <w:r w:rsidRPr="000178E5">
        <w:rPr>
          <w:rFonts w:cstheme="minorHAnsi"/>
        </w:rPr>
        <w:tab/>
      </w:r>
      <w:r w:rsidRPr="000178E5">
        <w:rPr>
          <w:rFonts w:cstheme="minorHAnsi"/>
        </w:rPr>
        <w:tab/>
      </w:r>
      <w:proofErr w:type="spellStart"/>
      <w:r w:rsidRPr="000178E5">
        <w:rPr>
          <w:rFonts w:cstheme="minorHAnsi"/>
          <w:i/>
          <w:color w:val="000000"/>
        </w:rPr>
        <w:t>Special</w:t>
      </w:r>
      <w:proofErr w:type="spellEnd"/>
      <w:r w:rsidRPr="000178E5">
        <w:rPr>
          <w:rFonts w:cstheme="minorHAnsi"/>
          <w:i/>
          <w:color w:val="000000"/>
        </w:rPr>
        <w:t xml:space="preserve"> </w:t>
      </w:r>
      <w:proofErr w:type="spellStart"/>
      <w:r w:rsidRPr="000178E5">
        <w:rPr>
          <w:rFonts w:cstheme="minorHAnsi"/>
          <w:i/>
          <w:color w:val="000000"/>
        </w:rPr>
        <w:t>Purpose</w:t>
      </w:r>
      <w:proofErr w:type="spellEnd"/>
      <w:r w:rsidRPr="000178E5">
        <w:rPr>
          <w:rFonts w:cstheme="minorHAnsi"/>
          <w:i/>
          <w:color w:val="000000"/>
        </w:rPr>
        <w:t xml:space="preserve"> </w:t>
      </w:r>
      <w:proofErr w:type="spellStart"/>
      <w:r w:rsidRPr="000178E5">
        <w:rPr>
          <w:rFonts w:cstheme="minorHAnsi"/>
          <w:i/>
          <w:color w:val="000000"/>
        </w:rPr>
        <w:t>Vehicle</w:t>
      </w:r>
      <w:proofErr w:type="spellEnd"/>
    </w:p>
    <w:p w:rsidR="000178E5" w:rsidRPr="000178E5" w:rsidRDefault="000178E5" w:rsidP="00B71544">
      <w:pPr>
        <w:spacing w:after="120"/>
        <w:contextualSpacing/>
        <w:jc w:val="both"/>
        <w:rPr>
          <w:rFonts w:cstheme="minorHAnsi"/>
        </w:rPr>
      </w:pPr>
      <w:r w:rsidRPr="000178E5">
        <w:rPr>
          <w:rFonts w:cstheme="minorHAnsi"/>
        </w:rPr>
        <w:t>SÚJB</w:t>
      </w:r>
      <w:r w:rsidRPr="000178E5">
        <w:rPr>
          <w:rFonts w:cstheme="minorHAnsi"/>
        </w:rPr>
        <w:tab/>
      </w:r>
      <w:r w:rsidRPr="000178E5">
        <w:rPr>
          <w:rFonts w:cstheme="minorHAnsi"/>
        </w:rPr>
        <w:tab/>
        <w:t>Státní úřad pro jadernou bezpečnost</w:t>
      </w:r>
    </w:p>
    <w:p w:rsidR="007F570D" w:rsidRDefault="000178E5" w:rsidP="00B71544">
      <w:pPr>
        <w:spacing w:after="120"/>
        <w:contextualSpacing/>
        <w:jc w:val="both"/>
        <w:rPr>
          <w:rFonts w:cstheme="minorHAnsi"/>
        </w:rPr>
      </w:pPr>
      <w:r w:rsidRPr="000178E5">
        <w:rPr>
          <w:rFonts w:cstheme="minorHAnsi"/>
        </w:rPr>
        <w:t>SÚRAO</w:t>
      </w:r>
      <w:r w:rsidRPr="000178E5">
        <w:rPr>
          <w:rFonts w:cstheme="minorHAnsi"/>
        </w:rPr>
        <w:tab/>
      </w:r>
      <w:r w:rsidRPr="000178E5">
        <w:rPr>
          <w:rFonts w:cstheme="minorHAnsi"/>
        </w:rPr>
        <w:tab/>
        <w:t>Správa úložišť radioaktivních odpadů</w:t>
      </w:r>
    </w:p>
    <w:p w:rsidR="007F570D" w:rsidRPr="000178E5" w:rsidRDefault="007F570D" w:rsidP="00B71544">
      <w:pPr>
        <w:spacing w:after="120"/>
        <w:contextualSpacing/>
        <w:jc w:val="both"/>
        <w:rPr>
          <w:rFonts w:cstheme="minorHAnsi"/>
        </w:rPr>
      </w:pPr>
      <w:proofErr w:type="gramStart"/>
      <w:r>
        <w:rPr>
          <w:rFonts w:cstheme="minorHAnsi"/>
        </w:rPr>
        <w:t>TK</w:t>
      </w:r>
      <w:r>
        <w:rPr>
          <w:rFonts w:cstheme="minorHAnsi"/>
        </w:rPr>
        <w:tab/>
      </w:r>
      <w:r>
        <w:rPr>
          <w:rFonts w:cstheme="minorHAnsi"/>
        </w:rPr>
        <w:tab/>
        <w:t>těžké</w:t>
      </w:r>
      <w:proofErr w:type="gramEnd"/>
      <w:r>
        <w:rPr>
          <w:rFonts w:cstheme="minorHAnsi"/>
        </w:rPr>
        <w:t xml:space="preserve"> kovy</w:t>
      </w:r>
    </w:p>
    <w:p w:rsidR="000178E5" w:rsidRPr="000178E5" w:rsidRDefault="000178E5" w:rsidP="00B71544">
      <w:pPr>
        <w:spacing w:after="120"/>
        <w:contextualSpacing/>
        <w:jc w:val="both"/>
        <w:rPr>
          <w:rFonts w:cstheme="minorHAnsi"/>
        </w:rPr>
      </w:pPr>
      <w:r w:rsidRPr="000178E5">
        <w:rPr>
          <w:rFonts w:cstheme="minorHAnsi"/>
        </w:rPr>
        <w:t>TA ČR</w:t>
      </w:r>
      <w:r w:rsidRPr="000178E5">
        <w:rPr>
          <w:rFonts w:cstheme="minorHAnsi"/>
        </w:rPr>
        <w:tab/>
      </w:r>
      <w:r w:rsidRPr="000178E5">
        <w:rPr>
          <w:rFonts w:cstheme="minorHAnsi"/>
        </w:rPr>
        <w:tab/>
        <w:t>Technologická agentura ČR</w:t>
      </w:r>
    </w:p>
    <w:p w:rsidR="000178E5" w:rsidRPr="000178E5" w:rsidRDefault="000178E5" w:rsidP="00B71544">
      <w:pPr>
        <w:spacing w:after="120"/>
        <w:contextualSpacing/>
        <w:jc w:val="both"/>
        <w:rPr>
          <w:rFonts w:cstheme="minorHAnsi"/>
        </w:rPr>
      </w:pPr>
      <w:r w:rsidRPr="000178E5">
        <w:rPr>
          <w:rFonts w:cstheme="minorHAnsi"/>
        </w:rPr>
        <w:t>TSO</w:t>
      </w:r>
      <w:r w:rsidRPr="000178E5">
        <w:rPr>
          <w:rFonts w:cstheme="minorHAnsi"/>
        </w:rPr>
        <w:tab/>
      </w:r>
      <w:r w:rsidRPr="000178E5">
        <w:rPr>
          <w:rFonts w:cstheme="minorHAnsi"/>
        </w:rPr>
        <w:tab/>
      </w:r>
      <w:proofErr w:type="spellStart"/>
      <w:r w:rsidRPr="000178E5">
        <w:rPr>
          <w:rFonts w:cstheme="minorHAnsi"/>
          <w:i/>
        </w:rPr>
        <w:t>Technical</w:t>
      </w:r>
      <w:proofErr w:type="spellEnd"/>
      <w:r w:rsidRPr="000178E5">
        <w:rPr>
          <w:rFonts w:cstheme="minorHAnsi"/>
          <w:i/>
        </w:rPr>
        <w:t xml:space="preserve"> Support </w:t>
      </w:r>
      <w:proofErr w:type="spellStart"/>
      <w:r w:rsidRPr="000178E5">
        <w:rPr>
          <w:rFonts w:cstheme="minorHAnsi"/>
          <w:i/>
        </w:rPr>
        <w:t>Organization</w:t>
      </w:r>
      <w:proofErr w:type="spellEnd"/>
      <w:r w:rsidRPr="000178E5">
        <w:rPr>
          <w:rFonts w:cstheme="minorHAnsi"/>
        </w:rPr>
        <w:t xml:space="preserve"> (</w:t>
      </w:r>
      <w:r w:rsidR="00A6405E">
        <w:rPr>
          <w:rFonts w:cstheme="minorHAnsi"/>
        </w:rPr>
        <w:t>organizace technické podpory</w:t>
      </w:r>
      <w:r w:rsidRPr="000178E5">
        <w:rPr>
          <w:rFonts w:cstheme="minorHAnsi"/>
        </w:rPr>
        <w:t>)</w:t>
      </w:r>
    </w:p>
    <w:p w:rsidR="000178E5" w:rsidRPr="000178E5" w:rsidRDefault="000178E5" w:rsidP="00B71544">
      <w:pPr>
        <w:spacing w:after="120"/>
        <w:contextualSpacing/>
        <w:jc w:val="both"/>
        <w:rPr>
          <w:rFonts w:cstheme="minorHAnsi"/>
        </w:rPr>
      </w:pPr>
      <w:r w:rsidRPr="000178E5">
        <w:rPr>
          <w:rFonts w:cstheme="minorHAnsi"/>
        </w:rPr>
        <w:t>USA</w:t>
      </w:r>
      <w:r w:rsidRPr="000178E5">
        <w:rPr>
          <w:rFonts w:cstheme="minorHAnsi"/>
        </w:rPr>
        <w:tab/>
      </w:r>
      <w:r w:rsidRPr="000178E5">
        <w:rPr>
          <w:rFonts w:cstheme="minorHAnsi"/>
        </w:rPr>
        <w:tab/>
        <w:t>Spojené státy americké</w:t>
      </w:r>
    </w:p>
    <w:p w:rsidR="000178E5" w:rsidRPr="000178E5" w:rsidRDefault="000178E5" w:rsidP="00B71544">
      <w:pPr>
        <w:spacing w:after="120"/>
        <w:contextualSpacing/>
        <w:jc w:val="both"/>
        <w:rPr>
          <w:rFonts w:cstheme="minorHAnsi"/>
        </w:rPr>
      </w:pPr>
      <w:r w:rsidRPr="000178E5">
        <w:rPr>
          <w:rFonts w:cstheme="minorHAnsi"/>
        </w:rPr>
        <w:t>UK</w:t>
      </w:r>
      <w:r w:rsidRPr="000178E5">
        <w:rPr>
          <w:rFonts w:cstheme="minorHAnsi"/>
        </w:rPr>
        <w:tab/>
      </w:r>
      <w:r w:rsidRPr="000178E5">
        <w:rPr>
          <w:rFonts w:cstheme="minorHAnsi"/>
        </w:rPr>
        <w:tab/>
        <w:t>Univerzita Karlova</w:t>
      </w:r>
    </w:p>
    <w:p w:rsidR="000178E5" w:rsidRPr="000178E5" w:rsidRDefault="000178E5" w:rsidP="00B71544">
      <w:pPr>
        <w:spacing w:after="120"/>
        <w:contextualSpacing/>
        <w:jc w:val="both"/>
        <w:rPr>
          <w:rFonts w:cstheme="minorHAnsi"/>
        </w:rPr>
      </w:pPr>
      <w:r w:rsidRPr="000178E5">
        <w:rPr>
          <w:rFonts w:cstheme="minorHAnsi"/>
        </w:rPr>
        <w:t>ÚDK 1997</w:t>
      </w:r>
      <w:r w:rsidRPr="000178E5">
        <w:rPr>
          <w:rFonts w:cstheme="minorHAnsi"/>
        </w:rPr>
        <w:tab/>
        <w:t>Úmluva o dodatečné kompenzaci za jaderné škody z roku 1997</w:t>
      </w:r>
    </w:p>
    <w:p w:rsidR="000178E5" w:rsidRPr="000178E5" w:rsidRDefault="000178E5" w:rsidP="00B71544">
      <w:pPr>
        <w:spacing w:after="120"/>
        <w:contextualSpacing/>
        <w:jc w:val="both"/>
        <w:rPr>
          <w:rFonts w:cstheme="minorHAnsi"/>
        </w:rPr>
      </w:pPr>
      <w:r w:rsidRPr="000178E5">
        <w:rPr>
          <w:rFonts w:cstheme="minorHAnsi"/>
        </w:rPr>
        <w:t>ÚJV</w:t>
      </w:r>
      <w:r w:rsidRPr="000178E5">
        <w:rPr>
          <w:rFonts w:cstheme="minorHAnsi"/>
        </w:rPr>
        <w:tab/>
      </w:r>
      <w:r w:rsidRPr="000178E5">
        <w:rPr>
          <w:rFonts w:cstheme="minorHAnsi"/>
        </w:rPr>
        <w:tab/>
        <w:t>Ústav jaderného výzkumu</w:t>
      </w:r>
    </w:p>
    <w:p w:rsidR="000178E5" w:rsidRPr="000178E5" w:rsidRDefault="000178E5" w:rsidP="00B71544">
      <w:pPr>
        <w:spacing w:after="120"/>
        <w:contextualSpacing/>
        <w:jc w:val="both"/>
        <w:rPr>
          <w:rFonts w:cstheme="minorHAnsi"/>
        </w:rPr>
      </w:pPr>
      <w:r w:rsidRPr="000178E5">
        <w:rPr>
          <w:rFonts w:cstheme="minorHAnsi"/>
        </w:rPr>
        <w:t>ÚRAO</w:t>
      </w:r>
      <w:r w:rsidRPr="000178E5">
        <w:rPr>
          <w:rFonts w:cstheme="minorHAnsi"/>
        </w:rPr>
        <w:tab/>
      </w:r>
      <w:r w:rsidRPr="000178E5">
        <w:rPr>
          <w:rFonts w:cstheme="minorHAnsi"/>
        </w:rPr>
        <w:tab/>
        <w:t>úložiště radioaktivního odpadu</w:t>
      </w:r>
    </w:p>
    <w:p w:rsidR="000178E5" w:rsidRPr="000178E5" w:rsidRDefault="000178E5" w:rsidP="00B71544">
      <w:pPr>
        <w:spacing w:after="120"/>
        <w:contextualSpacing/>
        <w:jc w:val="both"/>
        <w:rPr>
          <w:rFonts w:cstheme="minorHAnsi"/>
        </w:rPr>
      </w:pPr>
      <w:r w:rsidRPr="000178E5">
        <w:rPr>
          <w:rFonts w:cstheme="minorHAnsi"/>
        </w:rPr>
        <w:t>VAO</w:t>
      </w:r>
      <w:r w:rsidRPr="000178E5">
        <w:rPr>
          <w:rFonts w:cstheme="minorHAnsi"/>
        </w:rPr>
        <w:tab/>
      </w:r>
      <w:r w:rsidRPr="000178E5">
        <w:rPr>
          <w:rFonts w:cstheme="minorHAnsi"/>
        </w:rPr>
        <w:tab/>
        <w:t>vysoceaktivní odpad</w:t>
      </w:r>
    </w:p>
    <w:p w:rsidR="000178E5" w:rsidRPr="000178E5" w:rsidRDefault="000178E5" w:rsidP="00B71544">
      <w:pPr>
        <w:spacing w:after="120"/>
        <w:contextualSpacing/>
        <w:jc w:val="both"/>
        <w:rPr>
          <w:rFonts w:cstheme="minorHAnsi"/>
        </w:rPr>
      </w:pPr>
      <w:proofErr w:type="spellStart"/>
      <w:r w:rsidRPr="000178E5">
        <w:rPr>
          <w:rFonts w:cstheme="minorHAnsi"/>
        </w:rPr>
        <w:t>VaV</w:t>
      </w:r>
      <w:proofErr w:type="spellEnd"/>
      <w:r w:rsidRPr="000178E5">
        <w:rPr>
          <w:rFonts w:cstheme="minorHAnsi"/>
        </w:rPr>
        <w:tab/>
      </w:r>
      <w:r w:rsidRPr="000178E5">
        <w:rPr>
          <w:rFonts w:cstheme="minorHAnsi"/>
        </w:rPr>
        <w:tab/>
        <w:t>věda a výzkum</w:t>
      </w:r>
    </w:p>
    <w:p w:rsidR="000178E5" w:rsidRPr="000178E5" w:rsidRDefault="000178E5" w:rsidP="00B71544">
      <w:pPr>
        <w:spacing w:after="120"/>
        <w:contextualSpacing/>
        <w:jc w:val="both"/>
        <w:rPr>
          <w:rFonts w:cstheme="minorHAnsi"/>
        </w:rPr>
      </w:pPr>
      <w:proofErr w:type="spellStart"/>
      <w:r w:rsidRPr="000178E5">
        <w:rPr>
          <w:rFonts w:cstheme="minorHAnsi"/>
        </w:rPr>
        <w:t>VaVaI</w:t>
      </w:r>
      <w:proofErr w:type="spellEnd"/>
      <w:r w:rsidRPr="000178E5">
        <w:rPr>
          <w:rFonts w:cstheme="minorHAnsi"/>
        </w:rPr>
        <w:tab/>
      </w:r>
      <w:r w:rsidRPr="000178E5">
        <w:rPr>
          <w:rFonts w:cstheme="minorHAnsi"/>
        </w:rPr>
        <w:tab/>
        <w:t>věda, výzkum a inovace</w:t>
      </w:r>
    </w:p>
    <w:p w:rsidR="000178E5" w:rsidRPr="000178E5" w:rsidRDefault="000178E5" w:rsidP="00B71544">
      <w:pPr>
        <w:spacing w:after="120"/>
        <w:contextualSpacing/>
        <w:jc w:val="both"/>
        <w:rPr>
          <w:rFonts w:cstheme="minorHAnsi"/>
        </w:rPr>
      </w:pPr>
      <w:r w:rsidRPr="000178E5">
        <w:rPr>
          <w:rFonts w:cstheme="minorHAnsi"/>
        </w:rPr>
        <w:t>VJP</w:t>
      </w:r>
      <w:r w:rsidRPr="000178E5">
        <w:rPr>
          <w:rFonts w:cstheme="minorHAnsi"/>
        </w:rPr>
        <w:tab/>
      </w:r>
      <w:r w:rsidRPr="000178E5">
        <w:rPr>
          <w:rFonts w:cstheme="minorHAnsi"/>
        </w:rPr>
        <w:tab/>
        <w:t>vyhořelé jaderné palivo</w:t>
      </w:r>
    </w:p>
    <w:p w:rsidR="000178E5" w:rsidRPr="000178E5" w:rsidRDefault="000178E5" w:rsidP="00B71544">
      <w:pPr>
        <w:spacing w:after="120"/>
        <w:contextualSpacing/>
        <w:jc w:val="both"/>
        <w:rPr>
          <w:rFonts w:cstheme="minorHAnsi"/>
          <w:bCs/>
        </w:rPr>
      </w:pPr>
      <w:r w:rsidRPr="000178E5">
        <w:rPr>
          <w:rFonts w:cstheme="minorHAnsi"/>
          <w:bCs/>
        </w:rPr>
        <w:t>VŠ</w:t>
      </w:r>
      <w:r w:rsidRPr="000178E5">
        <w:rPr>
          <w:rFonts w:cstheme="minorHAnsi"/>
          <w:bCs/>
        </w:rPr>
        <w:tab/>
      </w:r>
      <w:r w:rsidRPr="000178E5">
        <w:rPr>
          <w:rFonts w:cstheme="minorHAnsi"/>
          <w:bCs/>
        </w:rPr>
        <w:tab/>
        <w:t>vysoká škola, vysokoškolské</w:t>
      </w:r>
    </w:p>
    <w:p w:rsidR="000178E5" w:rsidRPr="000178E5" w:rsidRDefault="000178E5" w:rsidP="00B71544">
      <w:pPr>
        <w:spacing w:after="120"/>
        <w:contextualSpacing/>
        <w:jc w:val="both"/>
        <w:rPr>
          <w:rFonts w:cstheme="minorHAnsi"/>
          <w:bCs/>
        </w:rPr>
      </w:pPr>
      <w:r w:rsidRPr="000178E5">
        <w:rPr>
          <w:rFonts w:cstheme="minorHAnsi"/>
          <w:bCs/>
        </w:rPr>
        <w:t>VÚ 1963</w:t>
      </w:r>
      <w:r w:rsidRPr="000178E5">
        <w:rPr>
          <w:rFonts w:cstheme="minorHAnsi"/>
          <w:bCs/>
        </w:rPr>
        <w:tab/>
        <w:t>vídeňská úmluva</w:t>
      </w:r>
      <w:r w:rsidRPr="000178E5">
        <w:rPr>
          <w:rFonts w:cstheme="minorHAnsi"/>
        </w:rPr>
        <w:t xml:space="preserve"> </w:t>
      </w:r>
      <w:r w:rsidRPr="000178E5">
        <w:rPr>
          <w:rFonts w:cstheme="minorHAnsi"/>
          <w:bCs/>
        </w:rPr>
        <w:t>o odpovědnosti za jaderné škody z roku 1963</w:t>
      </w:r>
    </w:p>
    <w:p w:rsidR="000178E5" w:rsidRPr="000178E5" w:rsidRDefault="000178E5" w:rsidP="00B71544">
      <w:pPr>
        <w:spacing w:after="120"/>
        <w:contextualSpacing/>
        <w:jc w:val="both"/>
        <w:rPr>
          <w:rFonts w:cstheme="minorHAnsi"/>
          <w:bCs/>
        </w:rPr>
      </w:pPr>
      <w:r w:rsidRPr="000178E5">
        <w:rPr>
          <w:rFonts w:cstheme="minorHAnsi"/>
        </w:rPr>
        <w:t>VÚ 1997</w:t>
      </w:r>
      <w:r w:rsidRPr="000178E5">
        <w:rPr>
          <w:rFonts w:cstheme="minorHAnsi"/>
        </w:rPr>
        <w:tab/>
        <w:t>Protokolu z roku 1997 o doplnění Vídeňské úmluvy o odpovědnosti za jaderné škody</w:t>
      </w:r>
    </w:p>
    <w:p w:rsidR="000178E5" w:rsidRPr="000178E5" w:rsidRDefault="000178E5" w:rsidP="00B71544">
      <w:pPr>
        <w:spacing w:after="120"/>
        <w:contextualSpacing/>
        <w:jc w:val="both"/>
        <w:rPr>
          <w:rFonts w:cstheme="minorHAnsi"/>
          <w:bCs/>
        </w:rPr>
      </w:pPr>
      <w:r w:rsidRPr="000178E5">
        <w:rPr>
          <w:rFonts w:cstheme="minorHAnsi"/>
          <w:bCs/>
        </w:rPr>
        <w:t>VVER</w:t>
      </w:r>
      <w:r w:rsidRPr="000178E5">
        <w:rPr>
          <w:rFonts w:cstheme="minorHAnsi"/>
          <w:bCs/>
        </w:rPr>
        <w:tab/>
      </w:r>
      <w:r w:rsidRPr="000178E5">
        <w:rPr>
          <w:rFonts w:cstheme="minorHAnsi"/>
          <w:bCs/>
        </w:rPr>
        <w:tab/>
        <w:t>vodo-vodní energetický reaktor</w:t>
      </w:r>
    </w:p>
    <w:p w:rsidR="000178E5" w:rsidRPr="000178E5" w:rsidRDefault="000178E5" w:rsidP="00B71544">
      <w:pPr>
        <w:spacing w:after="120"/>
        <w:contextualSpacing/>
        <w:jc w:val="both"/>
        <w:rPr>
          <w:rFonts w:cstheme="minorHAnsi"/>
          <w:bCs/>
        </w:rPr>
      </w:pPr>
      <w:r w:rsidRPr="000178E5">
        <w:rPr>
          <w:rFonts w:cstheme="minorHAnsi"/>
          <w:bCs/>
        </w:rPr>
        <w:t>WACC</w:t>
      </w:r>
      <w:r w:rsidRPr="000178E5">
        <w:rPr>
          <w:rFonts w:cstheme="minorHAnsi"/>
          <w:bCs/>
        </w:rPr>
        <w:tab/>
      </w:r>
      <w:r w:rsidRPr="000178E5">
        <w:rPr>
          <w:rFonts w:cstheme="minorHAnsi"/>
          <w:bCs/>
        </w:rPr>
        <w:tab/>
      </w:r>
      <w:proofErr w:type="spellStart"/>
      <w:r w:rsidRPr="000178E5">
        <w:rPr>
          <w:rFonts w:cstheme="minorHAnsi"/>
          <w:bCs/>
          <w:i/>
        </w:rPr>
        <w:t>Weighted</w:t>
      </w:r>
      <w:proofErr w:type="spellEnd"/>
      <w:r w:rsidRPr="000178E5">
        <w:rPr>
          <w:rFonts w:cstheme="minorHAnsi"/>
          <w:bCs/>
          <w:i/>
        </w:rPr>
        <w:t xml:space="preserve"> </w:t>
      </w:r>
      <w:proofErr w:type="spellStart"/>
      <w:r w:rsidRPr="000178E5">
        <w:rPr>
          <w:rFonts w:cstheme="minorHAnsi"/>
          <w:bCs/>
          <w:i/>
        </w:rPr>
        <w:t>Average</w:t>
      </w:r>
      <w:proofErr w:type="spellEnd"/>
      <w:r w:rsidRPr="000178E5">
        <w:rPr>
          <w:rFonts w:cstheme="minorHAnsi"/>
          <w:bCs/>
          <w:i/>
        </w:rPr>
        <w:t xml:space="preserve"> </w:t>
      </w:r>
      <w:proofErr w:type="spellStart"/>
      <w:r w:rsidRPr="000178E5">
        <w:rPr>
          <w:rFonts w:cstheme="minorHAnsi"/>
          <w:bCs/>
          <w:i/>
        </w:rPr>
        <w:t>Cost</w:t>
      </w:r>
      <w:proofErr w:type="spellEnd"/>
      <w:r w:rsidRPr="000178E5">
        <w:rPr>
          <w:rFonts w:cstheme="minorHAnsi"/>
          <w:bCs/>
          <w:i/>
        </w:rPr>
        <w:t xml:space="preserve"> </w:t>
      </w:r>
      <w:proofErr w:type="spellStart"/>
      <w:r w:rsidRPr="000178E5">
        <w:rPr>
          <w:rFonts w:cstheme="minorHAnsi"/>
          <w:bCs/>
          <w:i/>
        </w:rPr>
        <w:t>of</w:t>
      </w:r>
      <w:proofErr w:type="spellEnd"/>
      <w:r w:rsidRPr="000178E5">
        <w:rPr>
          <w:rFonts w:cstheme="minorHAnsi"/>
          <w:bCs/>
          <w:i/>
        </w:rPr>
        <w:t xml:space="preserve"> </w:t>
      </w:r>
      <w:proofErr w:type="spellStart"/>
      <w:r w:rsidRPr="000178E5">
        <w:rPr>
          <w:rFonts w:cstheme="minorHAnsi"/>
          <w:bCs/>
          <w:i/>
        </w:rPr>
        <w:t>Capital</w:t>
      </w:r>
      <w:proofErr w:type="spellEnd"/>
      <w:r w:rsidRPr="000178E5">
        <w:rPr>
          <w:rFonts w:cstheme="minorHAnsi"/>
          <w:bCs/>
        </w:rPr>
        <w:t xml:space="preserve"> (vážený průměr nákladů na kapitál)</w:t>
      </w:r>
    </w:p>
    <w:p w:rsidR="000178E5" w:rsidRPr="000178E5" w:rsidRDefault="000178E5" w:rsidP="00B71544">
      <w:pPr>
        <w:spacing w:after="120"/>
        <w:contextualSpacing/>
        <w:jc w:val="both"/>
        <w:rPr>
          <w:rFonts w:cstheme="minorHAnsi"/>
          <w:i/>
        </w:rPr>
      </w:pPr>
      <w:r w:rsidRPr="000178E5">
        <w:rPr>
          <w:rFonts w:cstheme="minorHAnsi"/>
          <w:bCs/>
        </w:rPr>
        <w:t>WANO</w:t>
      </w:r>
      <w:r w:rsidRPr="000178E5">
        <w:rPr>
          <w:rFonts w:cstheme="minorHAnsi"/>
          <w:bCs/>
        </w:rPr>
        <w:tab/>
      </w:r>
      <w:r w:rsidRPr="000178E5">
        <w:rPr>
          <w:rFonts w:cstheme="minorHAnsi"/>
          <w:bCs/>
        </w:rPr>
        <w:tab/>
      </w:r>
      <w:proofErr w:type="spellStart"/>
      <w:r w:rsidRPr="000178E5">
        <w:rPr>
          <w:rFonts w:cstheme="minorHAnsi"/>
          <w:bCs/>
          <w:i/>
        </w:rPr>
        <w:t>World</w:t>
      </w:r>
      <w:proofErr w:type="spellEnd"/>
      <w:r w:rsidRPr="000178E5">
        <w:rPr>
          <w:rFonts w:cstheme="minorHAnsi"/>
          <w:bCs/>
          <w:i/>
        </w:rPr>
        <w:t xml:space="preserve"> </w:t>
      </w:r>
      <w:proofErr w:type="spellStart"/>
      <w:r w:rsidRPr="000178E5">
        <w:rPr>
          <w:rFonts w:cstheme="minorHAnsi"/>
          <w:bCs/>
          <w:i/>
        </w:rPr>
        <w:t>Association</w:t>
      </w:r>
      <w:proofErr w:type="spellEnd"/>
      <w:r w:rsidRPr="000178E5">
        <w:rPr>
          <w:rFonts w:cstheme="minorHAnsi"/>
          <w:bCs/>
          <w:i/>
        </w:rPr>
        <w:t xml:space="preserve"> </w:t>
      </w:r>
      <w:proofErr w:type="spellStart"/>
      <w:r w:rsidRPr="000178E5">
        <w:rPr>
          <w:rFonts w:cstheme="minorHAnsi"/>
          <w:bCs/>
          <w:i/>
        </w:rPr>
        <w:t>of</w:t>
      </w:r>
      <w:proofErr w:type="spellEnd"/>
      <w:r w:rsidRPr="000178E5">
        <w:rPr>
          <w:rFonts w:cstheme="minorHAnsi"/>
          <w:bCs/>
          <w:i/>
        </w:rPr>
        <w:t xml:space="preserve"> </w:t>
      </w:r>
      <w:proofErr w:type="spellStart"/>
      <w:r w:rsidRPr="000178E5">
        <w:rPr>
          <w:rFonts w:cstheme="minorHAnsi"/>
          <w:bCs/>
          <w:i/>
        </w:rPr>
        <w:t>Nuclear</w:t>
      </w:r>
      <w:proofErr w:type="spellEnd"/>
      <w:r w:rsidRPr="000178E5">
        <w:rPr>
          <w:rFonts w:cstheme="minorHAnsi"/>
          <w:bCs/>
          <w:i/>
        </w:rPr>
        <w:t xml:space="preserve"> </w:t>
      </w:r>
      <w:proofErr w:type="spellStart"/>
      <w:r w:rsidRPr="000178E5">
        <w:rPr>
          <w:rFonts w:cstheme="minorHAnsi"/>
          <w:bCs/>
          <w:i/>
        </w:rPr>
        <w:t>Operators</w:t>
      </w:r>
      <w:proofErr w:type="spellEnd"/>
    </w:p>
    <w:p w:rsidR="000178E5" w:rsidRPr="000178E5" w:rsidRDefault="000178E5" w:rsidP="00B71544">
      <w:pPr>
        <w:spacing w:after="120"/>
        <w:contextualSpacing/>
        <w:jc w:val="both"/>
        <w:rPr>
          <w:rFonts w:cstheme="minorHAnsi"/>
        </w:rPr>
      </w:pPr>
      <w:r w:rsidRPr="000178E5">
        <w:rPr>
          <w:rFonts w:cstheme="minorHAnsi"/>
        </w:rPr>
        <w:t>ZVZ</w:t>
      </w:r>
      <w:r w:rsidRPr="000178E5">
        <w:rPr>
          <w:rFonts w:cstheme="minorHAnsi"/>
        </w:rPr>
        <w:tab/>
      </w:r>
      <w:r w:rsidRPr="000178E5">
        <w:rPr>
          <w:rFonts w:cstheme="minorHAnsi"/>
        </w:rPr>
        <w:tab/>
        <w:t>zákon o veřejných zakázkách</w:t>
      </w:r>
    </w:p>
    <w:p w:rsidR="000178E5" w:rsidRPr="000178E5" w:rsidRDefault="000178E5" w:rsidP="00B71544">
      <w:pPr>
        <w:spacing w:after="120"/>
        <w:contextualSpacing/>
        <w:jc w:val="both"/>
        <w:rPr>
          <w:rFonts w:cstheme="minorHAnsi"/>
        </w:rPr>
      </w:pPr>
      <w:r w:rsidRPr="000178E5">
        <w:rPr>
          <w:rFonts w:cstheme="minorHAnsi"/>
        </w:rPr>
        <w:t>ŽP</w:t>
      </w:r>
      <w:r w:rsidRPr="000178E5">
        <w:rPr>
          <w:rFonts w:cstheme="minorHAnsi"/>
        </w:rPr>
        <w:tab/>
      </w:r>
      <w:r w:rsidRPr="000178E5">
        <w:rPr>
          <w:rFonts w:cstheme="minorHAnsi"/>
        </w:rPr>
        <w:tab/>
        <w:t>životní prostředí</w:t>
      </w:r>
    </w:p>
    <w:p w:rsidR="007E6DCD" w:rsidRDefault="007E6DCD">
      <w:pPr>
        <w:rPr>
          <w:iCs/>
        </w:rPr>
      </w:pPr>
      <w:r>
        <w:rPr>
          <w:iCs/>
          <w:smallCaps/>
        </w:rPr>
        <w:br w:type="page"/>
      </w:r>
    </w:p>
    <w:p w:rsidR="00EA0E7A" w:rsidRDefault="007E6DCD" w:rsidP="007E6DCD">
      <w:pPr>
        <w:pStyle w:val="Nadpis1"/>
        <w:numPr>
          <w:ilvl w:val="0"/>
          <w:numId w:val="0"/>
        </w:numPr>
        <w:jc w:val="both"/>
      </w:pPr>
      <w:bookmarkStart w:id="306" w:name="_Toc420056065"/>
      <w:r>
        <w:lastRenderedPageBreak/>
        <w:t>Příloha č. 1:</w:t>
      </w:r>
      <w:r w:rsidR="00EC7B99">
        <w:t xml:space="preserve"> </w:t>
      </w:r>
      <w:r w:rsidRPr="007E6DCD">
        <w:t>Zkušenosti z připravovaných projektů JE ve vybraných zemích</w:t>
      </w:r>
      <w:bookmarkEnd w:id="306"/>
    </w:p>
    <w:p w:rsidR="007E6DCD" w:rsidRDefault="007E6DCD" w:rsidP="007E6DCD">
      <w:r w:rsidRPr="00417D3A">
        <w:t xml:space="preserve">Pro nové jaderné projekty je v Evropě uvažováno či diskutováno zajištění návratnosti. </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1050"/>
        <w:gridCol w:w="1351"/>
        <w:gridCol w:w="1091"/>
        <w:gridCol w:w="1318"/>
        <w:gridCol w:w="2977"/>
      </w:tblGrid>
      <w:tr w:rsidR="00546542" w:rsidRPr="00CC72E1" w:rsidTr="003F62D8">
        <w:tc>
          <w:tcPr>
            <w:tcW w:w="1535" w:type="dxa"/>
            <w:tcBorders>
              <w:top w:val="single" w:sz="12" w:space="0" w:color="auto"/>
              <w:left w:val="single" w:sz="12" w:space="0" w:color="auto"/>
              <w:bottom w:val="single" w:sz="12" w:space="0" w:color="auto"/>
            </w:tcBorders>
            <w:shd w:val="clear" w:color="auto" w:fill="B8CCE4" w:themeFill="accent1" w:themeFillTint="66"/>
          </w:tcPr>
          <w:p w:rsidR="00DB64F6" w:rsidRPr="00546542" w:rsidRDefault="00947045" w:rsidP="003F62D8">
            <w:pPr>
              <w:spacing w:before="120" w:after="120"/>
              <w:jc w:val="center"/>
              <w:rPr>
                <w:b/>
              </w:rPr>
            </w:pPr>
            <w:r w:rsidRPr="00546542">
              <w:rPr>
                <w:b/>
              </w:rPr>
              <w:t>Stav</w:t>
            </w:r>
          </w:p>
        </w:tc>
        <w:tc>
          <w:tcPr>
            <w:tcW w:w="1050" w:type="dxa"/>
            <w:tcBorders>
              <w:top w:val="single" w:sz="12" w:space="0" w:color="auto"/>
              <w:bottom w:val="single" w:sz="12" w:space="0" w:color="auto"/>
            </w:tcBorders>
            <w:shd w:val="clear" w:color="auto" w:fill="B8CCE4" w:themeFill="accent1" w:themeFillTint="66"/>
          </w:tcPr>
          <w:p w:rsidR="00DB64F6" w:rsidRPr="00546542" w:rsidRDefault="00DB64F6" w:rsidP="003F62D8">
            <w:pPr>
              <w:spacing w:before="120" w:after="120"/>
              <w:jc w:val="center"/>
              <w:rPr>
                <w:b/>
              </w:rPr>
            </w:pPr>
            <w:r w:rsidRPr="00546542">
              <w:rPr>
                <w:b/>
              </w:rPr>
              <w:t>Země</w:t>
            </w:r>
          </w:p>
        </w:tc>
        <w:tc>
          <w:tcPr>
            <w:tcW w:w="1351" w:type="dxa"/>
            <w:tcBorders>
              <w:top w:val="single" w:sz="12" w:space="0" w:color="auto"/>
              <w:bottom w:val="single" w:sz="12" w:space="0" w:color="auto"/>
            </w:tcBorders>
            <w:shd w:val="clear" w:color="auto" w:fill="B8CCE4" w:themeFill="accent1" w:themeFillTint="66"/>
          </w:tcPr>
          <w:p w:rsidR="00DB64F6" w:rsidRPr="00546542" w:rsidRDefault="00947045" w:rsidP="003F62D8">
            <w:pPr>
              <w:spacing w:before="120" w:after="120"/>
              <w:jc w:val="center"/>
              <w:rPr>
                <w:b/>
              </w:rPr>
            </w:pPr>
            <w:r w:rsidRPr="00546542">
              <w:rPr>
                <w:b/>
              </w:rPr>
              <w:t>Název</w:t>
            </w:r>
          </w:p>
        </w:tc>
        <w:tc>
          <w:tcPr>
            <w:tcW w:w="1091" w:type="dxa"/>
            <w:tcBorders>
              <w:top w:val="single" w:sz="12" w:space="0" w:color="auto"/>
              <w:bottom w:val="single" w:sz="12" w:space="0" w:color="auto"/>
            </w:tcBorders>
            <w:shd w:val="clear" w:color="auto" w:fill="B8CCE4" w:themeFill="accent1" w:themeFillTint="66"/>
          </w:tcPr>
          <w:p w:rsidR="00DB64F6" w:rsidRPr="00546542" w:rsidRDefault="00CC72E1" w:rsidP="003F62D8">
            <w:pPr>
              <w:spacing w:before="120" w:after="120"/>
              <w:jc w:val="center"/>
              <w:rPr>
                <w:b/>
              </w:rPr>
            </w:pPr>
            <w:r w:rsidRPr="00546542">
              <w:rPr>
                <w:b/>
              </w:rPr>
              <w:t>Kapacita v MW</w:t>
            </w:r>
          </w:p>
        </w:tc>
        <w:tc>
          <w:tcPr>
            <w:tcW w:w="1318" w:type="dxa"/>
            <w:tcBorders>
              <w:top w:val="single" w:sz="12" w:space="0" w:color="auto"/>
              <w:bottom w:val="single" w:sz="12" w:space="0" w:color="auto"/>
            </w:tcBorders>
            <w:shd w:val="clear" w:color="auto" w:fill="B8CCE4" w:themeFill="accent1" w:themeFillTint="66"/>
          </w:tcPr>
          <w:p w:rsidR="00DB64F6" w:rsidRPr="00546542" w:rsidRDefault="00CC72E1" w:rsidP="003F62D8">
            <w:pPr>
              <w:spacing w:before="120" w:after="120"/>
              <w:jc w:val="center"/>
              <w:rPr>
                <w:b/>
              </w:rPr>
            </w:pPr>
            <w:r w:rsidRPr="00546542">
              <w:rPr>
                <w:b/>
              </w:rPr>
              <w:t>Garance návratnosti</w:t>
            </w:r>
          </w:p>
        </w:tc>
        <w:tc>
          <w:tcPr>
            <w:tcW w:w="2977" w:type="dxa"/>
            <w:tcBorders>
              <w:top w:val="single" w:sz="12" w:space="0" w:color="auto"/>
              <w:bottom w:val="single" w:sz="12" w:space="0" w:color="auto"/>
              <w:right w:val="single" w:sz="12" w:space="0" w:color="auto"/>
            </w:tcBorders>
            <w:shd w:val="clear" w:color="auto" w:fill="B8CCE4" w:themeFill="accent1" w:themeFillTint="66"/>
          </w:tcPr>
          <w:p w:rsidR="00DB64F6" w:rsidRPr="00546542" w:rsidRDefault="00546542" w:rsidP="003F62D8">
            <w:pPr>
              <w:spacing w:before="120" w:after="120"/>
              <w:jc w:val="center"/>
              <w:rPr>
                <w:b/>
              </w:rPr>
            </w:pPr>
            <w:r>
              <w:rPr>
                <w:b/>
              </w:rPr>
              <w:t>Vlastník/podpůrné schéma</w:t>
            </w:r>
          </w:p>
        </w:tc>
      </w:tr>
      <w:tr w:rsidR="00546542" w:rsidRPr="00CC72E1" w:rsidTr="003F62D8">
        <w:tc>
          <w:tcPr>
            <w:tcW w:w="1535" w:type="dxa"/>
            <w:vMerge w:val="restart"/>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tcPr>
          <w:p w:rsidR="00DB64F6" w:rsidRPr="00546542" w:rsidRDefault="00DB64F6" w:rsidP="00CC72E1">
            <w:pPr>
              <w:rPr>
                <w:b/>
              </w:rPr>
            </w:pPr>
            <w:r w:rsidRPr="00546542">
              <w:rPr>
                <w:b/>
              </w:rPr>
              <w:t>Ve výstavbě</w:t>
            </w:r>
          </w:p>
        </w:tc>
        <w:tc>
          <w:tcPr>
            <w:tcW w:w="1050" w:type="dxa"/>
            <w:tcBorders>
              <w:top w:val="single" w:sz="12" w:space="0" w:color="auto"/>
              <w:left w:val="single" w:sz="4" w:space="0" w:color="auto"/>
              <w:bottom w:val="dotted" w:sz="4" w:space="0" w:color="A6A6A6" w:themeColor="background1" w:themeShade="A6"/>
            </w:tcBorders>
            <w:vAlign w:val="center"/>
          </w:tcPr>
          <w:p w:rsidR="00DB64F6" w:rsidRPr="00546542" w:rsidRDefault="00947045" w:rsidP="00546542">
            <w:r w:rsidRPr="00546542">
              <w:t>Slovensko</w:t>
            </w:r>
          </w:p>
        </w:tc>
        <w:tc>
          <w:tcPr>
            <w:tcW w:w="1351" w:type="dxa"/>
            <w:tcBorders>
              <w:top w:val="single" w:sz="12" w:space="0" w:color="auto"/>
              <w:bottom w:val="dotted" w:sz="4" w:space="0" w:color="A6A6A6" w:themeColor="background1" w:themeShade="A6"/>
            </w:tcBorders>
            <w:vAlign w:val="center"/>
          </w:tcPr>
          <w:p w:rsidR="00DB64F6" w:rsidRPr="00546542" w:rsidRDefault="00DB64F6" w:rsidP="00546542">
            <w:r w:rsidRPr="00546542">
              <w:t>Mochovce 3&amp;4</w:t>
            </w:r>
          </w:p>
        </w:tc>
        <w:tc>
          <w:tcPr>
            <w:tcW w:w="1091" w:type="dxa"/>
            <w:tcBorders>
              <w:top w:val="single" w:sz="12" w:space="0" w:color="auto"/>
              <w:bottom w:val="dotted" w:sz="4" w:space="0" w:color="A6A6A6" w:themeColor="background1" w:themeShade="A6"/>
            </w:tcBorders>
            <w:vAlign w:val="center"/>
          </w:tcPr>
          <w:p w:rsidR="00DB64F6" w:rsidRPr="00546542" w:rsidRDefault="00947045" w:rsidP="00546542">
            <w:r w:rsidRPr="00546542">
              <w:t>2x471</w:t>
            </w:r>
          </w:p>
        </w:tc>
        <w:tc>
          <w:tcPr>
            <w:tcW w:w="1318" w:type="dxa"/>
            <w:tcBorders>
              <w:top w:val="single" w:sz="12" w:space="0" w:color="auto"/>
              <w:bottom w:val="dotted" w:sz="4" w:space="0" w:color="A6A6A6" w:themeColor="background1" w:themeShade="A6"/>
              <w:right w:val="single" w:sz="8" w:space="0" w:color="FFFFFF" w:themeColor="background1"/>
            </w:tcBorders>
            <w:vAlign w:val="center"/>
          </w:tcPr>
          <w:p w:rsidR="00DB64F6" w:rsidRPr="00546542" w:rsidRDefault="00CC72E1" w:rsidP="00546542">
            <w:pPr>
              <w:jc w:val="center"/>
            </w:pPr>
            <w:r w:rsidRPr="00546542">
              <w:t>Ne</w:t>
            </w:r>
          </w:p>
        </w:tc>
        <w:tc>
          <w:tcPr>
            <w:tcW w:w="2977" w:type="dxa"/>
            <w:tcBorders>
              <w:top w:val="single" w:sz="12" w:space="0" w:color="auto"/>
              <w:left w:val="single" w:sz="8" w:space="0" w:color="FFFFFF" w:themeColor="background1"/>
              <w:bottom w:val="dotted" w:sz="4" w:space="0" w:color="A6A6A6" w:themeColor="background1" w:themeShade="A6"/>
              <w:right w:val="single" w:sz="12" w:space="0" w:color="auto"/>
            </w:tcBorders>
            <w:vAlign w:val="center"/>
          </w:tcPr>
          <w:p w:rsidR="00DB64F6" w:rsidRDefault="00CC72E1" w:rsidP="00546542">
            <w:pPr>
              <w:rPr>
                <w:sz w:val="18"/>
              </w:rPr>
            </w:pPr>
            <w:proofErr w:type="spellStart"/>
            <w:r>
              <w:rPr>
                <w:sz w:val="18"/>
              </w:rPr>
              <w:t>Enel</w:t>
            </w:r>
            <w:proofErr w:type="spellEnd"/>
          </w:p>
          <w:p w:rsidR="00CC72E1" w:rsidRPr="00CC72E1" w:rsidRDefault="00CC72E1" w:rsidP="00546542">
            <w:pPr>
              <w:rPr>
                <w:sz w:val="18"/>
              </w:rPr>
            </w:pPr>
            <w:r>
              <w:rPr>
                <w:sz w:val="18"/>
              </w:rPr>
              <w:t xml:space="preserve">Výstavba byla </w:t>
            </w:r>
            <w:proofErr w:type="spellStart"/>
            <w:r>
              <w:rPr>
                <w:sz w:val="18"/>
              </w:rPr>
              <w:t>naceněna</w:t>
            </w:r>
            <w:proofErr w:type="spellEnd"/>
            <w:r>
              <w:rPr>
                <w:sz w:val="18"/>
              </w:rPr>
              <w:t xml:space="preserve"> v akviziční ceně Slovenských elektráren</w:t>
            </w:r>
          </w:p>
        </w:tc>
      </w:tr>
      <w:tr w:rsidR="00546542"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DB64F6" w:rsidRPr="00546542" w:rsidRDefault="00DB64F6" w:rsidP="00CC72E1"/>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DB64F6" w:rsidRPr="00546542" w:rsidRDefault="00DB64F6" w:rsidP="00546542">
            <w:r w:rsidRPr="00546542">
              <w:t>Francie</w:t>
            </w:r>
          </w:p>
        </w:tc>
        <w:tc>
          <w:tcPr>
            <w:tcW w:w="1351" w:type="dxa"/>
            <w:tcBorders>
              <w:top w:val="dotted" w:sz="4" w:space="0" w:color="A6A6A6" w:themeColor="background1" w:themeShade="A6"/>
              <w:bottom w:val="dotted" w:sz="4" w:space="0" w:color="A6A6A6" w:themeColor="background1" w:themeShade="A6"/>
            </w:tcBorders>
            <w:vAlign w:val="center"/>
          </w:tcPr>
          <w:p w:rsidR="00DB64F6" w:rsidRPr="00546542" w:rsidRDefault="00947045" w:rsidP="00546542">
            <w:proofErr w:type="spellStart"/>
            <w:r w:rsidRPr="00546542">
              <w:t>Flamanville</w:t>
            </w:r>
            <w:proofErr w:type="spellEnd"/>
            <w:r w:rsidRPr="00546542">
              <w:t xml:space="preserve"> 3</w:t>
            </w:r>
          </w:p>
        </w:tc>
        <w:tc>
          <w:tcPr>
            <w:tcW w:w="1091" w:type="dxa"/>
            <w:tcBorders>
              <w:top w:val="dotted" w:sz="4" w:space="0" w:color="A6A6A6" w:themeColor="background1" w:themeShade="A6"/>
              <w:bottom w:val="dotted" w:sz="4" w:space="0" w:color="A6A6A6" w:themeColor="background1" w:themeShade="A6"/>
            </w:tcBorders>
            <w:vAlign w:val="center"/>
          </w:tcPr>
          <w:p w:rsidR="00DB64F6" w:rsidRPr="00546542" w:rsidRDefault="00947045" w:rsidP="00546542">
            <w:r w:rsidRPr="00546542">
              <w:t>1x1 700</w:t>
            </w:r>
          </w:p>
        </w:tc>
        <w:tc>
          <w:tcPr>
            <w:tcW w:w="1318" w:type="dxa"/>
            <w:tcBorders>
              <w:top w:val="dotted" w:sz="4" w:space="0" w:color="A6A6A6" w:themeColor="background1" w:themeShade="A6"/>
              <w:bottom w:val="dotted" w:sz="4" w:space="0" w:color="A6A6A6" w:themeColor="background1" w:themeShade="A6"/>
            </w:tcBorders>
            <w:vAlign w:val="center"/>
          </w:tcPr>
          <w:p w:rsidR="00DB64F6" w:rsidRPr="00546542" w:rsidRDefault="00CC72E1" w:rsidP="00546542">
            <w:pPr>
              <w:jc w:val="center"/>
            </w:pPr>
            <w:r w:rsidRPr="00546542">
              <w:t>Ano</w:t>
            </w:r>
            <w:r w:rsidR="00BE1C65"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DB64F6" w:rsidRDefault="00BE1C65" w:rsidP="00546542">
            <w:pPr>
              <w:rPr>
                <w:sz w:val="18"/>
              </w:rPr>
            </w:pPr>
            <w:proofErr w:type="spellStart"/>
            <w:r>
              <w:rPr>
                <w:sz w:val="18"/>
              </w:rPr>
              <w:t>EdF</w:t>
            </w:r>
            <w:proofErr w:type="spellEnd"/>
          </w:p>
          <w:p w:rsidR="00BE1C65" w:rsidRPr="00CC72E1" w:rsidRDefault="00BE1C65" w:rsidP="00546542">
            <w:pPr>
              <w:rPr>
                <w:sz w:val="18"/>
              </w:rPr>
            </w:pPr>
            <w:r>
              <w:rPr>
                <w:sz w:val="18"/>
              </w:rPr>
              <w:t xml:space="preserve">Předplacené PPA – </w:t>
            </w:r>
            <w:proofErr w:type="spellStart"/>
            <w:r>
              <w:rPr>
                <w:sz w:val="18"/>
              </w:rPr>
              <w:t>Exeltium</w:t>
            </w:r>
            <w:proofErr w:type="spellEnd"/>
            <w:r>
              <w:rPr>
                <w:sz w:val="18"/>
              </w:rPr>
              <w:t xml:space="preserve"> poskytuje část financování</w:t>
            </w:r>
          </w:p>
        </w:tc>
      </w:tr>
      <w:tr w:rsidR="00546542"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DB64F6" w:rsidRPr="00546542" w:rsidRDefault="00DB64F6" w:rsidP="00CC72E1"/>
        </w:tc>
        <w:tc>
          <w:tcPr>
            <w:tcW w:w="1050" w:type="dxa"/>
            <w:tcBorders>
              <w:top w:val="dotted" w:sz="4" w:space="0" w:color="A6A6A6" w:themeColor="background1" w:themeShade="A6"/>
              <w:left w:val="single" w:sz="4" w:space="0" w:color="auto"/>
              <w:bottom w:val="single" w:sz="8" w:space="0" w:color="auto"/>
            </w:tcBorders>
            <w:vAlign w:val="center"/>
          </w:tcPr>
          <w:p w:rsidR="00DB64F6" w:rsidRPr="00546542" w:rsidRDefault="00947045" w:rsidP="00546542">
            <w:r w:rsidRPr="00546542">
              <w:t>Fin</w:t>
            </w:r>
            <w:r w:rsidR="00DB64F6" w:rsidRPr="00546542">
              <w:t>sko</w:t>
            </w:r>
          </w:p>
        </w:tc>
        <w:tc>
          <w:tcPr>
            <w:tcW w:w="1351" w:type="dxa"/>
            <w:tcBorders>
              <w:top w:val="dotted" w:sz="4" w:space="0" w:color="A6A6A6" w:themeColor="background1" w:themeShade="A6"/>
              <w:bottom w:val="single" w:sz="8" w:space="0" w:color="auto"/>
            </w:tcBorders>
            <w:vAlign w:val="center"/>
          </w:tcPr>
          <w:p w:rsidR="00DB64F6" w:rsidRPr="00546542" w:rsidRDefault="00947045" w:rsidP="00546542">
            <w:proofErr w:type="spellStart"/>
            <w:r w:rsidRPr="00546542">
              <w:t>Olkiluoto</w:t>
            </w:r>
            <w:proofErr w:type="spellEnd"/>
            <w:r w:rsidRPr="00546542">
              <w:t xml:space="preserve"> 3</w:t>
            </w:r>
          </w:p>
        </w:tc>
        <w:tc>
          <w:tcPr>
            <w:tcW w:w="1091" w:type="dxa"/>
            <w:tcBorders>
              <w:top w:val="dotted" w:sz="4" w:space="0" w:color="A6A6A6" w:themeColor="background1" w:themeShade="A6"/>
              <w:bottom w:val="single" w:sz="8" w:space="0" w:color="auto"/>
            </w:tcBorders>
            <w:vAlign w:val="center"/>
          </w:tcPr>
          <w:p w:rsidR="00DB64F6" w:rsidRPr="00546542" w:rsidRDefault="00947045" w:rsidP="00546542">
            <w:r w:rsidRPr="00546542">
              <w:t>1x1 720</w:t>
            </w:r>
          </w:p>
        </w:tc>
        <w:tc>
          <w:tcPr>
            <w:tcW w:w="1318" w:type="dxa"/>
            <w:tcBorders>
              <w:top w:val="dotted" w:sz="4" w:space="0" w:color="A6A6A6" w:themeColor="background1" w:themeShade="A6"/>
              <w:bottom w:val="single" w:sz="8" w:space="0" w:color="auto"/>
            </w:tcBorders>
            <w:vAlign w:val="center"/>
          </w:tcPr>
          <w:p w:rsidR="00DB64F6" w:rsidRPr="00546542" w:rsidRDefault="00CC72E1" w:rsidP="00546542">
            <w:pPr>
              <w:jc w:val="center"/>
            </w:pPr>
            <w:r w:rsidRPr="00546542">
              <w:t>Ano</w:t>
            </w:r>
            <w:r w:rsidR="00BE1C65" w:rsidRPr="00546542">
              <w:t>*</w:t>
            </w:r>
          </w:p>
        </w:tc>
        <w:tc>
          <w:tcPr>
            <w:tcW w:w="2977" w:type="dxa"/>
            <w:tcBorders>
              <w:top w:val="dotted" w:sz="4" w:space="0" w:color="A6A6A6" w:themeColor="background1" w:themeShade="A6"/>
              <w:bottom w:val="single" w:sz="8" w:space="0" w:color="auto"/>
              <w:right w:val="single" w:sz="12" w:space="0" w:color="auto"/>
            </w:tcBorders>
            <w:vAlign w:val="center"/>
          </w:tcPr>
          <w:p w:rsidR="00DB64F6" w:rsidRDefault="00BE1C65" w:rsidP="00546542">
            <w:pPr>
              <w:rPr>
                <w:sz w:val="18"/>
              </w:rPr>
            </w:pPr>
            <w:r>
              <w:rPr>
                <w:sz w:val="18"/>
              </w:rPr>
              <w:t>TVO</w:t>
            </w:r>
          </w:p>
          <w:p w:rsidR="00BE1C65" w:rsidRPr="00CC72E1" w:rsidRDefault="00BE1C65" w:rsidP="00546542">
            <w:pPr>
              <w:rPr>
                <w:sz w:val="18"/>
              </w:rPr>
            </w:pPr>
            <w:r>
              <w:rPr>
                <w:sz w:val="18"/>
              </w:rPr>
              <w:t>PPA za náklady, podpora přes exportní agentury, půjčky s nízkým úrokem od státních organizací</w:t>
            </w:r>
          </w:p>
        </w:tc>
      </w:tr>
      <w:tr w:rsidR="00947045" w:rsidRPr="00CC72E1" w:rsidTr="003F62D8">
        <w:tc>
          <w:tcPr>
            <w:tcW w:w="1535" w:type="dxa"/>
            <w:vMerge w:val="restart"/>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947045" w:rsidRPr="00546542" w:rsidRDefault="00947045" w:rsidP="00CC72E1">
            <w:pPr>
              <w:rPr>
                <w:b/>
              </w:rPr>
            </w:pPr>
            <w:r w:rsidRPr="00546542">
              <w:rPr>
                <w:b/>
              </w:rPr>
              <w:t>Plánované</w:t>
            </w:r>
          </w:p>
        </w:tc>
        <w:tc>
          <w:tcPr>
            <w:tcW w:w="1050" w:type="dxa"/>
            <w:tcBorders>
              <w:top w:val="single" w:sz="8" w:space="0" w:color="auto"/>
              <w:left w:val="single" w:sz="4" w:space="0" w:color="auto"/>
              <w:bottom w:val="dotted" w:sz="4" w:space="0" w:color="A6A6A6" w:themeColor="background1" w:themeShade="A6"/>
            </w:tcBorders>
            <w:vAlign w:val="center"/>
          </w:tcPr>
          <w:p w:rsidR="00947045" w:rsidRPr="00546542" w:rsidRDefault="00947045" w:rsidP="00546542">
            <w:r w:rsidRPr="00546542">
              <w:t>Francie</w:t>
            </w:r>
          </w:p>
        </w:tc>
        <w:tc>
          <w:tcPr>
            <w:tcW w:w="1351" w:type="dxa"/>
            <w:tcBorders>
              <w:top w:val="single" w:sz="8" w:space="0" w:color="auto"/>
              <w:bottom w:val="dotted" w:sz="4" w:space="0" w:color="A6A6A6" w:themeColor="background1" w:themeShade="A6"/>
            </w:tcBorders>
            <w:vAlign w:val="center"/>
          </w:tcPr>
          <w:p w:rsidR="00947045" w:rsidRPr="00546542" w:rsidRDefault="00947045" w:rsidP="00546542">
            <w:proofErr w:type="spellStart"/>
            <w:r w:rsidRPr="00546542">
              <w:t>Penly</w:t>
            </w:r>
            <w:proofErr w:type="spellEnd"/>
            <w:r w:rsidRPr="00546542">
              <w:t xml:space="preserve"> 3</w:t>
            </w:r>
          </w:p>
        </w:tc>
        <w:tc>
          <w:tcPr>
            <w:tcW w:w="1091" w:type="dxa"/>
            <w:tcBorders>
              <w:top w:val="single" w:sz="8" w:space="0" w:color="auto"/>
              <w:bottom w:val="dotted" w:sz="4" w:space="0" w:color="A6A6A6" w:themeColor="background1" w:themeShade="A6"/>
            </w:tcBorders>
            <w:vAlign w:val="center"/>
          </w:tcPr>
          <w:p w:rsidR="00947045" w:rsidRPr="00546542" w:rsidRDefault="00947045" w:rsidP="00546542">
            <w:r w:rsidRPr="00546542">
              <w:t>1x1 750</w:t>
            </w:r>
          </w:p>
        </w:tc>
        <w:tc>
          <w:tcPr>
            <w:tcW w:w="1318" w:type="dxa"/>
            <w:tcBorders>
              <w:top w:val="single" w:sz="8" w:space="0" w:color="auto"/>
              <w:bottom w:val="dotted" w:sz="4" w:space="0" w:color="A6A6A6" w:themeColor="background1" w:themeShade="A6"/>
            </w:tcBorders>
            <w:vAlign w:val="center"/>
          </w:tcPr>
          <w:p w:rsidR="00947045" w:rsidRPr="00546542" w:rsidRDefault="00BE1C65" w:rsidP="00546542">
            <w:pPr>
              <w:jc w:val="center"/>
            </w:pPr>
            <w:r w:rsidRPr="00546542">
              <w:t>Ano</w:t>
            </w:r>
          </w:p>
        </w:tc>
        <w:tc>
          <w:tcPr>
            <w:tcW w:w="2977" w:type="dxa"/>
            <w:tcBorders>
              <w:top w:val="single" w:sz="8" w:space="0" w:color="auto"/>
              <w:bottom w:val="dotted" w:sz="4" w:space="0" w:color="A6A6A6" w:themeColor="background1" w:themeShade="A6"/>
              <w:right w:val="single" w:sz="12" w:space="0" w:color="auto"/>
            </w:tcBorders>
            <w:vAlign w:val="center"/>
          </w:tcPr>
          <w:p w:rsidR="00947045" w:rsidRDefault="00BE1C65" w:rsidP="00546542">
            <w:pPr>
              <w:rPr>
                <w:sz w:val="18"/>
              </w:rPr>
            </w:pPr>
            <w:proofErr w:type="spellStart"/>
            <w:r>
              <w:rPr>
                <w:sz w:val="18"/>
              </w:rPr>
              <w:t>EdF</w:t>
            </w:r>
            <w:proofErr w:type="spellEnd"/>
          </w:p>
          <w:p w:rsidR="00BE1C65" w:rsidRPr="00CC72E1" w:rsidRDefault="00BE1C65" w:rsidP="00546542">
            <w:pPr>
              <w:rPr>
                <w:sz w:val="18"/>
              </w:rPr>
            </w:pPr>
            <w:r>
              <w:rPr>
                <w:sz w:val="18"/>
              </w:rPr>
              <w:t>Uvažován dvojtarifový systém (regulovaný a liberalizovaný)</w:t>
            </w:r>
          </w:p>
        </w:tc>
      </w:tr>
      <w:tr w:rsidR="00BE1C65"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BE1C65" w:rsidRPr="00546542" w:rsidRDefault="00BE1C65" w:rsidP="00CC72E1"/>
        </w:tc>
        <w:tc>
          <w:tcPr>
            <w:tcW w:w="1050" w:type="dxa"/>
            <w:tcBorders>
              <w:top w:val="dotted" w:sz="4" w:space="0" w:color="A6A6A6" w:themeColor="background1" w:themeShade="A6"/>
              <w:left w:val="single" w:sz="4" w:space="0" w:color="auto"/>
              <w:bottom w:val="single" w:sz="8" w:space="0" w:color="auto"/>
            </w:tcBorders>
            <w:vAlign w:val="center"/>
          </w:tcPr>
          <w:p w:rsidR="00BE1C65" w:rsidRPr="00546542" w:rsidRDefault="00BE1C65" w:rsidP="00546542">
            <w:r w:rsidRPr="00546542">
              <w:t>Velká Británie</w:t>
            </w:r>
          </w:p>
        </w:tc>
        <w:tc>
          <w:tcPr>
            <w:tcW w:w="1351" w:type="dxa"/>
            <w:tcBorders>
              <w:top w:val="dotted" w:sz="4" w:space="0" w:color="A6A6A6" w:themeColor="background1" w:themeShade="A6"/>
              <w:bottom w:val="single" w:sz="8" w:space="0" w:color="auto"/>
            </w:tcBorders>
            <w:vAlign w:val="center"/>
          </w:tcPr>
          <w:p w:rsidR="00BE1C65" w:rsidRPr="00546542" w:rsidRDefault="00BE1C65" w:rsidP="00546542">
            <w:proofErr w:type="spellStart"/>
            <w:r w:rsidRPr="00546542">
              <w:t>Hinkley</w:t>
            </w:r>
            <w:proofErr w:type="spellEnd"/>
            <w:r w:rsidRPr="00546542">
              <w:t xml:space="preserve"> Point</w:t>
            </w:r>
          </w:p>
        </w:tc>
        <w:tc>
          <w:tcPr>
            <w:tcW w:w="1091" w:type="dxa"/>
            <w:tcBorders>
              <w:top w:val="dotted" w:sz="4" w:space="0" w:color="A6A6A6" w:themeColor="background1" w:themeShade="A6"/>
              <w:bottom w:val="single" w:sz="8" w:space="0" w:color="auto"/>
            </w:tcBorders>
            <w:vAlign w:val="center"/>
          </w:tcPr>
          <w:p w:rsidR="00BE1C65" w:rsidRPr="00546542" w:rsidRDefault="00BE1C65" w:rsidP="00546542">
            <w:r w:rsidRPr="00546542">
              <w:t>2x1 700</w:t>
            </w:r>
          </w:p>
        </w:tc>
        <w:tc>
          <w:tcPr>
            <w:tcW w:w="1318" w:type="dxa"/>
            <w:tcBorders>
              <w:top w:val="dotted" w:sz="4" w:space="0" w:color="A6A6A6" w:themeColor="background1" w:themeShade="A6"/>
              <w:bottom w:val="single" w:sz="8" w:space="0" w:color="auto"/>
            </w:tcBorders>
            <w:vAlign w:val="center"/>
          </w:tcPr>
          <w:p w:rsidR="00BE1C65" w:rsidRPr="00546542" w:rsidRDefault="00BE1C65" w:rsidP="00546542">
            <w:pPr>
              <w:jc w:val="center"/>
            </w:pPr>
            <w:r w:rsidRPr="00546542">
              <w:t>Ano</w:t>
            </w:r>
          </w:p>
        </w:tc>
        <w:tc>
          <w:tcPr>
            <w:tcW w:w="2977" w:type="dxa"/>
            <w:tcBorders>
              <w:top w:val="dotted" w:sz="4" w:space="0" w:color="A6A6A6" w:themeColor="background1" w:themeShade="A6"/>
              <w:bottom w:val="single" w:sz="8" w:space="0" w:color="auto"/>
              <w:right w:val="single" w:sz="12" w:space="0" w:color="auto"/>
            </w:tcBorders>
            <w:vAlign w:val="center"/>
          </w:tcPr>
          <w:p w:rsidR="00BE1C65" w:rsidRDefault="00BE1C65" w:rsidP="00546542">
            <w:pPr>
              <w:rPr>
                <w:sz w:val="18"/>
              </w:rPr>
            </w:pPr>
            <w:r>
              <w:rPr>
                <w:sz w:val="18"/>
              </w:rPr>
              <w:t xml:space="preserve">Plánuje </w:t>
            </w:r>
            <w:proofErr w:type="spellStart"/>
            <w:r>
              <w:rPr>
                <w:sz w:val="18"/>
              </w:rPr>
              <w:t>EdF</w:t>
            </w:r>
            <w:proofErr w:type="spellEnd"/>
          </w:p>
          <w:p w:rsidR="00BE1C65" w:rsidRPr="00CC72E1" w:rsidRDefault="00BE1C65" w:rsidP="00546542">
            <w:pPr>
              <w:rPr>
                <w:sz w:val="18"/>
              </w:rPr>
            </w:pPr>
            <w:proofErr w:type="spellStart"/>
            <w:r>
              <w:rPr>
                <w:sz w:val="18"/>
              </w:rPr>
              <w:t>CfD</w:t>
            </w:r>
            <w:proofErr w:type="spellEnd"/>
            <w:r>
              <w:rPr>
                <w:sz w:val="18"/>
              </w:rPr>
              <w:t xml:space="preserve"> a garance půjček</w:t>
            </w:r>
          </w:p>
        </w:tc>
      </w:tr>
      <w:tr w:rsidR="00BE1C65" w:rsidRPr="00CC72E1" w:rsidTr="003F62D8">
        <w:tc>
          <w:tcPr>
            <w:tcW w:w="1535" w:type="dxa"/>
            <w:vMerge w:val="restart"/>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BE1C65" w:rsidRPr="00546542" w:rsidRDefault="00BE1C65" w:rsidP="00CC72E1">
            <w:pPr>
              <w:rPr>
                <w:b/>
              </w:rPr>
            </w:pPr>
            <w:r w:rsidRPr="00546542">
              <w:rPr>
                <w:b/>
              </w:rPr>
              <w:t>Návrh</w:t>
            </w:r>
          </w:p>
        </w:tc>
        <w:tc>
          <w:tcPr>
            <w:tcW w:w="1050" w:type="dxa"/>
            <w:tcBorders>
              <w:top w:val="single" w:sz="8" w:space="0" w:color="auto"/>
              <w:left w:val="single" w:sz="4" w:space="0" w:color="auto"/>
              <w:bottom w:val="dotted" w:sz="4" w:space="0" w:color="A6A6A6" w:themeColor="background1" w:themeShade="A6"/>
            </w:tcBorders>
            <w:vAlign w:val="center"/>
          </w:tcPr>
          <w:p w:rsidR="00BE1C65" w:rsidRPr="00546542" w:rsidRDefault="00BE1C65" w:rsidP="00546542">
            <w:r w:rsidRPr="00546542">
              <w:t>Velká Británie</w:t>
            </w:r>
          </w:p>
        </w:tc>
        <w:tc>
          <w:tcPr>
            <w:tcW w:w="1351" w:type="dxa"/>
            <w:tcBorders>
              <w:top w:val="single" w:sz="8" w:space="0" w:color="auto"/>
              <w:bottom w:val="dotted" w:sz="4" w:space="0" w:color="A6A6A6" w:themeColor="background1" w:themeShade="A6"/>
            </w:tcBorders>
            <w:vAlign w:val="center"/>
          </w:tcPr>
          <w:p w:rsidR="00BE1C65" w:rsidRPr="00546542" w:rsidRDefault="00BE1C65" w:rsidP="00546542">
            <w:proofErr w:type="spellStart"/>
            <w:r w:rsidRPr="00546542">
              <w:t>Sizewell</w:t>
            </w:r>
            <w:proofErr w:type="spellEnd"/>
            <w:r w:rsidRPr="00546542">
              <w:t xml:space="preserve"> C</w:t>
            </w:r>
          </w:p>
        </w:tc>
        <w:tc>
          <w:tcPr>
            <w:tcW w:w="1091" w:type="dxa"/>
            <w:tcBorders>
              <w:top w:val="single" w:sz="8" w:space="0" w:color="auto"/>
              <w:bottom w:val="dotted" w:sz="4" w:space="0" w:color="A6A6A6" w:themeColor="background1" w:themeShade="A6"/>
            </w:tcBorders>
            <w:vAlign w:val="center"/>
          </w:tcPr>
          <w:p w:rsidR="00BE1C65" w:rsidRPr="00546542" w:rsidRDefault="00BE1C65" w:rsidP="00546542">
            <w:r w:rsidRPr="00546542">
              <w:t>2x1 700</w:t>
            </w:r>
          </w:p>
        </w:tc>
        <w:tc>
          <w:tcPr>
            <w:tcW w:w="1318" w:type="dxa"/>
            <w:tcBorders>
              <w:top w:val="single" w:sz="8" w:space="0" w:color="auto"/>
              <w:bottom w:val="dotted" w:sz="4" w:space="0" w:color="A6A6A6" w:themeColor="background1" w:themeShade="A6"/>
            </w:tcBorders>
            <w:vAlign w:val="center"/>
          </w:tcPr>
          <w:p w:rsidR="00BE1C65" w:rsidRPr="00546542" w:rsidRDefault="00BE1C65" w:rsidP="00546542">
            <w:pPr>
              <w:jc w:val="center"/>
            </w:pPr>
            <w:r w:rsidRPr="00546542">
              <w:t>Ano</w:t>
            </w:r>
          </w:p>
        </w:tc>
        <w:tc>
          <w:tcPr>
            <w:tcW w:w="2977" w:type="dxa"/>
            <w:tcBorders>
              <w:top w:val="single" w:sz="8" w:space="0" w:color="auto"/>
              <w:bottom w:val="dotted" w:sz="4" w:space="0" w:color="A6A6A6" w:themeColor="background1" w:themeShade="A6"/>
              <w:right w:val="single" w:sz="12" w:space="0" w:color="auto"/>
            </w:tcBorders>
            <w:vAlign w:val="center"/>
          </w:tcPr>
          <w:p w:rsidR="00BE1C65" w:rsidRPr="00CC72E1" w:rsidRDefault="00BE1C65" w:rsidP="00546542">
            <w:pPr>
              <w:rPr>
                <w:sz w:val="18"/>
              </w:rPr>
            </w:pPr>
          </w:p>
        </w:tc>
      </w:tr>
      <w:tr w:rsidR="00BE1C65"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BE1C65" w:rsidRPr="00546542" w:rsidRDefault="00BE1C65"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BE1C65" w:rsidRPr="00546542" w:rsidRDefault="00BE1C65" w:rsidP="00546542">
            <w:r w:rsidRPr="00546542">
              <w:t>Velká Británie</w:t>
            </w:r>
          </w:p>
        </w:tc>
        <w:tc>
          <w:tcPr>
            <w:tcW w:w="1351"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proofErr w:type="spellStart"/>
            <w:r w:rsidRPr="00546542">
              <w:t>Oldbury</w:t>
            </w:r>
            <w:proofErr w:type="spellEnd"/>
            <w:r w:rsidRPr="00546542">
              <w:t xml:space="preserve"> B</w:t>
            </w:r>
          </w:p>
        </w:tc>
        <w:tc>
          <w:tcPr>
            <w:tcW w:w="1091"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r w:rsidRPr="00546542">
              <w:t>2x1 700/</w:t>
            </w:r>
          </w:p>
          <w:p w:rsidR="00BE1C65" w:rsidRPr="00546542" w:rsidRDefault="00BE1C65" w:rsidP="00546542">
            <w:r w:rsidRPr="00546542">
              <w:t>3x1 200</w:t>
            </w:r>
          </w:p>
        </w:tc>
        <w:tc>
          <w:tcPr>
            <w:tcW w:w="1318"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pPr>
              <w:jc w:val="center"/>
            </w:pPr>
            <w:r w:rsidRPr="00546542">
              <w:t>Ano</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BE1C65" w:rsidRDefault="00BE1C65" w:rsidP="00546542">
            <w:pPr>
              <w:rPr>
                <w:sz w:val="18"/>
              </w:rPr>
            </w:pPr>
            <w:r>
              <w:rPr>
                <w:sz w:val="18"/>
              </w:rPr>
              <w:t xml:space="preserve">Koupilo GE </w:t>
            </w:r>
            <w:proofErr w:type="spellStart"/>
            <w:r>
              <w:rPr>
                <w:sz w:val="18"/>
              </w:rPr>
              <w:t>Hitachi</w:t>
            </w:r>
            <w:proofErr w:type="spellEnd"/>
          </w:p>
          <w:p w:rsidR="00BE1C65" w:rsidRPr="00CC72E1" w:rsidRDefault="00BE1C65" w:rsidP="00546542">
            <w:pPr>
              <w:rPr>
                <w:sz w:val="18"/>
              </w:rPr>
            </w:pPr>
            <w:r>
              <w:rPr>
                <w:sz w:val="18"/>
              </w:rPr>
              <w:t xml:space="preserve">Předpokládá se </w:t>
            </w:r>
            <w:proofErr w:type="spellStart"/>
            <w:r>
              <w:rPr>
                <w:sz w:val="18"/>
              </w:rPr>
              <w:t>CfD</w:t>
            </w:r>
            <w:proofErr w:type="spellEnd"/>
          </w:p>
        </w:tc>
      </w:tr>
      <w:tr w:rsidR="00BE1C65"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BE1C65" w:rsidRPr="00546542" w:rsidRDefault="00BE1C65"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BE1C65" w:rsidRPr="00546542" w:rsidRDefault="00BE1C65" w:rsidP="00546542">
            <w:r w:rsidRPr="00546542">
              <w:t>Velká Británie</w:t>
            </w:r>
          </w:p>
        </w:tc>
        <w:tc>
          <w:tcPr>
            <w:tcW w:w="1351"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proofErr w:type="spellStart"/>
            <w:r w:rsidRPr="00546542">
              <w:t>Wylfa</w:t>
            </w:r>
            <w:proofErr w:type="spellEnd"/>
          </w:p>
        </w:tc>
        <w:tc>
          <w:tcPr>
            <w:tcW w:w="1091"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r w:rsidRPr="00546542">
              <w:t>2x1 670/</w:t>
            </w:r>
          </w:p>
          <w:p w:rsidR="00BE1C65" w:rsidRPr="00546542" w:rsidRDefault="00BE1C65" w:rsidP="00546542">
            <w:r w:rsidRPr="00546542">
              <w:t>3x1 200</w:t>
            </w:r>
          </w:p>
        </w:tc>
        <w:tc>
          <w:tcPr>
            <w:tcW w:w="1318" w:type="dxa"/>
            <w:tcBorders>
              <w:top w:val="dotted" w:sz="4" w:space="0" w:color="A6A6A6" w:themeColor="background1" w:themeShade="A6"/>
              <w:bottom w:val="dotted" w:sz="4" w:space="0" w:color="A6A6A6" w:themeColor="background1" w:themeShade="A6"/>
            </w:tcBorders>
            <w:vAlign w:val="center"/>
          </w:tcPr>
          <w:p w:rsidR="00BE1C65" w:rsidRPr="00546542" w:rsidRDefault="00BE1C65" w:rsidP="00546542">
            <w:pPr>
              <w:jc w:val="center"/>
            </w:pPr>
            <w:r w:rsidRPr="00546542">
              <w:t>Ano</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BE1C65" w:rsidRPr="00CC72E1" w:rsidRDefault="00BE1C65" w:rsidP="00546542">
            <w:pPr>
              <w:rPr>
                <w:sz w:val="18"/>
              </w:rPr>
            </w:pP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Velká Británie</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roofErr w:type="spellStart"/>
            <w:r w:rsidRPr="00546542">
              <w:t>Moorside</w:t>
            </w:r>
            <w:proofErr w:type="spellEnd"/>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3x1 200</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Ano</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proofErr w:type="spellStart"/>
            <w:r>
              <w:rPr>
                <w:sz w:val="18"/>
              </w:rPr>
              <w:t>NuGen</w:t>
            </w:r>
            <w:proofErr w:type="spellEnd"/>
            <w:r>
              <w:rPr>
                <w:sz w:val="18"/>
              </w:rPr>
              <w:t xml:space="preserve"> (60 % Toshiba, 40 % </w:t>
            </w:r>
            <w:proofErr w:type="spellStart"/>
            <w:r>
              <w:rPr>
                <w:sz w:val="18"/>
              </w:rPr>
              <w:t>GdF</w:t>
            </w:r>
            <w:proofErr w:type="spellEnd"/>
            <w:r>
              <w:rPr>
                <w:sz w:val="18"/>
              </w:rPr>
              <w:t>)</w:t>
            </w:r>
          </w:p>
          <w:p w:rsidR="00BE1C65" w:rsidRPr="00BE1C65" w:rsidRDefault="00BE1C65" w:rsidP="00546542">
            <w:pPr>
              <w:rPr>
                <w:sz w:val="18"/>
              </w:rPr>
            </w:pPr>
            <w:r>
              <w:rPr>
                <w:sz w:val="18"/>
              </w:rPr>
              <w:t xml:space="preserve">Předpokládá se </w:t>
            </w:r>
            <w:proofErr w:type="spellStart"/>
            <w:r>
              <w:rPr>
                <w:sz w:val="18"/>
              </w:rPr>
              <w:t>CfD</w:t>
            </w:r>
            <w:proofErr w:type="spellEnd"/>
            <w:r>
              <w:rPr>
                <w:sz w:val="18"/>
              </w:rPr>
              <w:t>, předpokládá se prodej 60 % Toshiby po dokončení projektu</w:t>
            </w: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Litva</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roofErr w:type="spellStart"/>
            <w:r w:rsidRPr="00546542">
              <w:t>Visaginas</w:t>
            </w:r>
            <w:proofErr w:type="spellEnd"/>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1x1300</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r>
              <w:rPr>
                <w:sz w:val="18"/>
              </w:rPr>
              <w:t xml:space="preserve">Spoluinvestor a strategický partner GE </w:t>
            </w:r>
            <w:proofErr w:type="spellStart"/>
            <w:r>
              <w:rPr>
                <w:sz w:val="18"/>
              </w:rPr>
              <w:t>Hitachi</w:t>
            </w:r>
            <w:proofErr w:type="spellEnd"/>
          </w:p>
          <w:p w:rsidR="00BE1C65" w:rsidRPr="00CC72E1" w:rsidRDefault="00BE1C65" w:rsidP="00546542">
            <w:pPr>
              <w:rPr>
                <w:sz w:val="18"/>
              </w:rPr>
            </w:pPr>
            <w:r>
              <w:rPr>
                <w:sz w:val="18"/>
              </w:rPr>
              <w:t>Společné úsilí Lotyška, Litvy a Estonska (a Polska)</w:t>
            </w: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Finsko</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roofErr w:type="spellStart"/>
            <w:r w:rsidRPr="00546542">
              <w:t>Olkiluoto</w:t>
            </w:r>
            <w:proofErr w:type="spellEnd"/>
            <w:r w:rsidRPr="00546542">
              <w:t xml:space="preserve"> 4</w:t>
            </w:r>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Ano</w:t>
            </w:r>
            <w:r w:rsidR="00BE1C65"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r>
              <w:rPr>
                <w:sz w:val="18"/>
              </w:rPr>
              <w:t>TVO</w:t>
            </w:r>
          </w:p>
          <w:p w:rsidR="00BE1C65" w:rsidRPr="00CC72E1" w:rsidRDefault="00BE1C65" w:rsidP="00546542">
            <w:pPr>
              <w:rPr>
                <w:sz w:val="18"/>
              </w:rPr>
            </w:pPr>
            <w:r>
              <w:rPr>
                <w:sz w:val="18"/>
              </w:rPr>
              <w:t>PPA za náklady</w:t>
            </w: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Finsko</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roofErr w:type="spellStart"/>
            <w:r w:rsidRPr="00546542">
              <w:t>Hanhikivi</w:t>
            </w:r>
            <w:proofErr w:type="spellEnd"/>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1x1 200</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Ano</w:t>
            </w:r>
            <w:r w:rsidR="00BE1C65"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Pr="00CC72E1" w:rsidRDefault="00CC72E1" w:rsidP="00546542">
            <w:pPr>
              <w:rPr>
                <w:sz w:val="18"/>
              </w:rPr>
            </w:pP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Česká republika</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ETE 3&amp;4</w:t>
            </w:r>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2x?</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r>
              <w:rPr>
                <w:sz w:val="18"/>
              </w:rPr>
              <w:t>ČEZ</w:t>
            </w:r>
          </w:p>
          <w:p w:rsidR="00BE1C65" w:rsidRPr="00CC72E1" w:rsidRDefault="00BE1C65" w:rsidP="00546542">
            <w:pPr>
              <w:rPr>
                <w:sz w:val="18"/>
              </w:rPr>
            </w:pPr>
            <w:r>
              <w:rPr>
                <w:sz w:val="18"/>
              </w:rPr>
              <w:t>Diskutovány způsoby zajištění návratnosti a financování</w:t>
            </w: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Slovensko</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Bohunice</w:t>
            </w:r>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1x1 200?</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r>
              <w:rPr>
                <w:sz w:val="18"/>
              </w:rPr>
              <w:t>JESS</w:t>
            </w:r>
          </w:p>
          <w:p w:rsidR="00BE1C65" w:rsidRPr="00CC72E1" w:rsidRDefault="00BE1C65" w:rsidP="00546542">
            <w:pPr>
              <w:rPr>
                <w:sz w:val="18"/>
              </w:rPr>
            </w:pPr>
            <w:r>
              <w:rPr>
                <w:sz w:val="18"/>
              </w:rPr>
              <w:t>Diskutován požadavek na zajištění návratnosti</w:t>
            </w:r>
          </w:p>
        </w:tc>
      </w:tr>
      <w:tr w:rsidR="00CC72E1" w:rsidRPr="00CC72E1" w:rsidTr="003F62D8">
        <w:tc>
          <w:tcPr>
            <w:tcW w:w="1535" w:type="dxa"/>
            <w:vMerge/>
            <w:tcBorders>
              <w:top w:val="single" w:sz="4" w:space="0" w:color="auto"/>
              <w:left w:val="single" w:sz="12" w:space="0" w:color="auto"/>
              <w:bottom w:val="single" w:sz="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dotted" w:sz="4" w:space="0" w:color="A6A6A6" w:themeColor="background1" w:themeShade="A6"/>
            </w:tcBorders>
            <w:vAlign w:val="center"/>
          </w:tcPr>
          <w:p w:rsidR="00CC72E1" w:rsidRPr="00546542" w:rsidRDefault="00CC72E1" w:rsidP="00546542">
            <w:r w:rsidRPr="00546542">
              <w:t>Maďarsko</w:t>
            </w:r>
          </w:p>
        </w:tc>
        <w:tc>
          <w:tcPr>
            <w:tcW w:w="135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roofErr w:type="spellStart"/>
            <w:r w:rsidRPr="00546542">
              <w:t>Paks</w:t>
            </w:r>
            <w:proofErr w:type="spellEnd"/>
          </w:p>
        </w:tc>
        <w:tc>
          <w:tcPr>
            <w:tcW w:w="1091"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r w:rsidRPr="00546542">
              <w:t>2x1 200</w:t>
            </w:r>
          </w:p>
        </w:tc>
        <w:tc>
          <w:tcPr>
            <w:tcW w:w="1318" w:type="dxa"/>
            <w:tcBorders>
              <w:top w:val="dotted" w:sz="4" w:space="0" w:color="A6A6A6" w:themeColor="background1" w:themeShade="A6"/>
              <w:bottom w:val="dotted" w:sz="4" w:space="0" w:color="A6A6A6" w:themeColor="background1" w:themeShade="A6"/>
            </w:tcBorders>
            <w:vAlign w:val="center"/>
          </w:tcPr>
          <w:p w:rsidR="00CC72E1" w:rsidRPr="00546542" w:rsidRDefault="00CC72E1" w:rsidP="00546542">
            <w:pPr>
              <w:jc w:val="center"/>
            </w:pPr>
            <w:r w:rsidRPr="00546542">
              <w:t>?</w:t>
            </w:r>
          </w:p>
        </w:tc>
        <w:tc>
          <w:tcPr>
            <w:tcW w:w="2977" w:type="dxa"/>
            <w:tcBorders>
              <w:top w:val="dotted" w:sz="4" w:space="0" w:color="A6A6A6" w:themeColor="background1" w:themeShade="A6"/>
              <w:bottom w:val="dotted" w:sz="4" w:space="0" w:color="A6A6A6" w:themeColor="background1" w:themeShade="A6"/>
              <w:right w:val="single" w:sz="12" w:space="0" w:color="auto"/>
            </w:tcBorders>
            <w:vAlign w:val="center"/>
          </w:tcPr>
          <w:p w:rsidR="00CC72E1" w:rsidRDefault="00BE1C65" w:rsidP="00546542">
            <w:pPr>
              <w:rPr>
                <w:sz w:val="18"/>
              </w:rPr>
            </w:pPr>
            <w:r>
              <w:rPr>
                <w:sz w:val="18"/>
              </w:rPr>
              <w:t>MVM</w:t>
            </w:r>
          </w:p>
          <w:p w:rsidR="00BE1C65" w:rsidRPr="00CC72E1" w:rsidRDefault="00BE1C65" w:rsidP="00546542">
            <w:pPr>
              <w:rPr>
                <w:sz w:val="18"/>
              </w:rPr>
            </w:pPr>
            <w:r>
              <w:rPr>
                <w:sz w:val="18"/>
              </w:rPr>
              <w:t>Mezivládní dohoda, mezivládní půjčka</w:t>
            </w:r>
          </w:p>
        </w:tc>
      </w:tr>
      <w:tr w:rsidR="00CC72E1" w:rsidRPr="00CC72E1" w:rsidTr="003F62D8">
        <w:tc>
          <w:tcPr>
            <w:tcW w:w="1535" w:type="dxa"/>
            <w:vMerge/>
            <w:tcBorders>
              <w:top w:val="single" w:sz="4" w:space="0" w:color="auto"/>
              <w:left w:val="single" w:sz="12" w:space="0" w:color="auto"/>
              <w:bottom w:val="thinThickSmallGap" w:sz="24" w:space="0" w:color="auto"/>
              <w:right w:val="single" w:sz="4" w:space="0" w:color="auto"/>
            </w:tcBorders>
            <w:shd w:val="clear" w:color="auto" w:fill="B8CCE4" w:themeFill="accent1" w:themeFillTint="66"/>
          </w:tcPr>
          <w:p w:rsidR="00CC72E1" w:rsidRPr="00546542" w:rsidRDefault="00CC72E1" w:rsidP="007E6DCD"/>
        </w:tc>
        <w:tc>
          <w:tcPr>
            <w:tcW w:w="1050" w:type="dxa"/>
            <w:tcBorders>
              <w:top w:val="dotted" w:sz="4" w:space="0" w:color="A6A6A6" w:themeColor="background1" w:themeShade="A6"/>
              <w:left w:val="single" w:sz="4" w:space="0" w:color="auto"/>
              <w:bottom w:val="thinThickSmallGap" w:sz="24" w:space="0" w:color="auto"/>
            </w:tcBorders>
            <w:vAlign w:val="center"/>
          </w:tcPr>
          <w:p w:rsidR="00CC72E1" w:rsidRPr="00546542" w:rsidRDefault="00CC72E1" w:rsidP="00546542">
            <w:r w:rsidRPr="00546542">
              <w:t>Polsko</w:t>
            </w:r>
          </w:p>
        </w:tc>
        <w:tc>
          <w:tcPr>
            <w:tcW w:w="1351" w:type="dxa"/>
            <w:tcBorders>
              <w:top w:val="dotted" w:sz="4" w:space="0" w:color="A6A6A6" w:themeColor="background1" w:themeShade="A6"/>
              <w:bottom w:val="thinThickSmallGap" w:sz="24" w:space="0" w:color="auto"/>
            </w:tcBorders>
            <w:vAlign w:val="center"/>
          </w:tcPr>
          <w:p w:rsidR="00CC72E1" w:rsidRPr="00546542" w:rsidRDefault="00CC72E1" w:rsidP="00546542">
            <w:r w:rsidRPr="00546542">
              <w:t>?</w:t>
            </w:r>
          </w:p>
        </w:tc>
        <w:tc>
          <w:tcPr>
            <w:tcW w:w="1091" w:type="dxa"/>
            <w:tcBorders>
              <w:top w:val="dotted" w:sz="4" w:space="0" w:color="A6A6A6" w:themeColor="background1" w:themeShade="A6"/>
              <w:bottom w:val="thinThickSmallGap" w:sz="24" w:space="0" w:color="auto"/>
            </w:tcBorders>
            <w:vAlign w:val="center"/>
          </w:tcPr>
          <w:p w:rsidR="00CC72E1" w:rsidRPr="00546542" w:rsidRDefault="00CC72E1" w:rsidP="00546542">
            <w:r w:rsidRPr="00546542">
              <w:t>až 6 000</w:t>
            </w:r>
          </w:p>
        </w:tc>
        <w:tc>
          <w:tcPr>
            <w:tcW w:w="1318" w:type="dxa"/>
            <w:tcBorders>
              <w:top w:val="dotted" w:sz="4" w:space="0" w:color="A6A6A6" w:themeColor="background1" w:themeShade="A6"/>
              <w:bottom w:val="thinThickSmallGap" w:sz="24" w:space="0" w:color="auto"/>
            </w:tcBorders>
            <w:vAlign w:val="center"/>
          </w:tcPr>
          <w:p w:rsidR="00CC72E1" w:rsidRPr="00546542" w:rsidRDefault="00CC72E1" w:rsidP="00546542">
            <w:pPr>
              <w:jc w:val="center"/>
            </w:pPr>
            <w:r w:rsidRPr="00546542">
              <w:t>?</w:t>
            </w:r>
          </w:p>
        </w:tc>
        <w:tc>
          <w:tcPr>
            <w:tcW w:w="2977" w:type="dxa"/>
            <w:tcBorders>
              <w:top w:val="dotted" w:sz="4" w:space="0" w:color="A6A6A6" w:themeColor="background1" w:themeShade="A6"/>
              <w:bottom w:val="thinThickSmallGap" w:sz="24" w:space="0" w:color="auto"/>
              <w:right w:val="single" w:sz="12" w:space="0" w:color="auto"/>
            </w:tcBorders>
            <w:vAlign w:val="center"/>
          </w:tcPr>
          <w:p w:rsidR="00CC72E1" w:rsidRPr="00CC72E1" w:rsidRDefault="00CC72E1" w:rsidP="00546542">
            <w:pPr>
              <w:rPr>
                <w:sz w:val="18"/>
              </w:rPr>
            </w:pPr>
          </w:p>
        </w:tc>
      </w:tr>
    </w:tbl>
    <w:p w:rsidR="00DB64F6" w:rsidRPr="00546542" w:rsidRDefault="00BE1C65" w:rsidP="007E6DCD">
      <w:pPr>
        <w:rPr>
          <w:sz w:val="20"/>
          <w:szCs w:val="20"/>
        </w:rPr>
      </w:pPr>
      <w:r w:rsidRPr="00546542">
        <w:rPr>
          <w:sz w:val="20"/>
          <w:szCs w:val="20"/>
        </w:rPr>
        <w:t>*vlastníci=odběratelé nesou tržní riziko</w:t>
      </w:r>
    </w:p>
    <w:p w:rsidR="00AA1C46" w:rsidRDefault="00AA1C46">
      <w:pPr>
        <w:rPr>
          <w:noProof/>
        </w:rPr>
      </w:pPr>
      <w:r>
        <w:rPr>
          <w:noProof/>
        </w:rPr>
        <w:br w:type="page"/>
      </w:r>
    </w:p>
    <w:p w:rsidR="007E6DCD" w:rsidRPr="00EC7B99" w:rsidRDefault="007E6DCD" w:rsidP="00EC7B99">
      <w:pPr>
        <w:rPr>
          <w:b/>
        </w:rPr>
      </w:pPr>
      <w:bookmarkStart w:id="307" w:name="_Toc400198484"/>
      <w:bookmarkStart w:id="308" w:name="_Toc400623685"/>
      <w:bookmarkStart w:id="309" w:name="_Toc401162642"/>
      <w:bookmarkStart w:id="310" w:name="_Toc401218899"/>
      <w:bookmarkStart w:id="311" w:name="_Toc401761620"/>
      <w:bookmarkStart w:id="312" w:name="_Toc402949106"/>
      <w:bookmarkStart w:id="313" w:name="_Toc401162645"/>
      <w:bookmarkStart w:id="314" w:name="_Toc401218902"/>
      <w:bookmarkStart w:id="315" w:name="_Toc401761623"/>
      <w:bookmarkStart w:id="316" w:name="_Toc402949109"/>
      <w:bookmarkStart w:id="317" w:name="_Toc398891673"/>
      <w:bookmarkStart w:id="318" w:name="_Toc402949110"/>
      <w:bookmarkEnd w:id="307"/>
      <w:bookmarkEnd w:id="308"/>
      <w:bookmarkEnd w:id="309"/>
      <w:bookmarkEnd w:id="310"/>
      <w:bookmarkEnd w:id="311"/>
      <w:bookmarkEnd w:id="312"/>
      <w:bookmarkEnd w:id="313"/>
      <w:bookmarkEnd w:id="314"/>
      <w:bookmarkEnd w:id="315"/>
      <w:bookmarkEnd w:id="316"/>
      <w:r w:rsidRPr="00EC7B99">
        <w:rPr>
          <w:b/>
        </w:rPr>
        <w:lastRenderedPageBreak/>
        <w:t xml:space="preserve">Finsko – projekt </w:t>
      </w:r>
      <w:proofErr w:type="spellStart"/>
      <w:r w:rsidRPr="00EC7B99">
        <w:rPr>
          <w:b/>
        </w:rPr>
        <w:t>Hanhikivi</w:t>
      </w:r>
      <w:proofErr w:type="spellEnd"/>
      <w:r w:rsidRPr="00EC7B99">
        <w:rPr>
          <w:b/>
        </w:rPr>
        <w:t xml:space="preserve"> (MIR1200)</w:t>
      </w:r>
      <w:bookmarkEnd w:id="317"/>
      <w:bookmarkEnd w:id="318"/>
    </w:p>
    <w:p w:rsidR="007E6DCD" w:rsidRDefault="007E6DCD" w:rsidP="00F55595">
      <w:r>
        <w:rPr>
          <w:rFonts w:cs="Arial"/>
        </w:rPr>
        <w:t>Shrnutí</w:t>
      </w:r>
      <w:r w:rsidRPr="00B726E6">
        <w:t xml:space="preserve"> </w:t>
      </w:r>
      <w:r>
        <w:t>hlavních charakteristik:</w:t>
      </w:r>
    </w:p>
    <w:p w:rsidR="007E6DCD" w:rsidRDefault="007E6DCD" w:rsidP="00F55595">
      <w:pPr>
        <w:pStyle w:val="Odstavecseseznamem"/>
        <w:numPr>
          <w:ilvl w:val="0"/>
          <w:numId w:val="122"/>
        </w:numPr>
        <w:spacing w:before="240"/>
        <w:jc w:val="both"/>
      </w:pPr>
      <w:r>
        <w:t>Kdo nese investiční náklady: investoři a dodavatel technologie</w:t>
      </w:r>
    </w:p>
    <w:p w:rsidR="007E6DCD" w:rsidRPr="00B726E6" w:rsidRDefault="007E6DCD" w:rsidP="00F55595">
      <w:pPr>
        <w:pStyle w:val="Odstavecseseznamem"/>
        <w:numPr>
          <w:ilvl w:val="0"/>
          <w:numId w:val="122"/>
        </w:numPr>
        <w:spacing w:before="240"/>
        <w:jc w:val="both"/>
        <w:rPr>
          <w:rFonts w:cs="Arial"/>
        </w:rPr>
      </w:pPr>
      <w:r>
        <w:t xml:space="preserve">Kdo ručí za cenu elektřiny: investoři, kteří jsou zároveň odběratelé – </w:t>
      </w:r>
      <w:proofErr w:type="spellStart"/>
      <w:r>
        <w:t>Mankala</w:t>
      </w:r>
      <w:proofErr w:type="spellEnd"/>
      <w:r>
        <w:t xml:space="preserve"> model</w:t>
      </w:r>
    </w:p>
    <w:p w:rsidR="007E6DCD" w:rsidRPr="00B726E6" w:rsidRDefault="007E6DCD" w:rsidP="00CD5A12">
      <w:pPr>
        <w:pStyle w:val="Odstavecseseznamem"/>
        <w:numPr>
          <w:ilvl w:val="0"/>
          <w:numId w:val="122"/>
        </w:numPr>
        <w:spacing w:before="240"/>
        <w:jc w:val="both"/>
        <w:rPr>
          <w:rFonts w:cs="Arial"/>
        </w:rPr>
      </w:pPr>
      <w:r w:rsidRPr="00B726E6">
        <w:t>Jak proběhl/pr</w:t>
      </w:r>
      <w:r>
        <w:t>o</w:t>
      </w:r>
      <w:r w:rsidRPr="00B726E6">
        <w:t xml:space="preserve">běhne výběr dodavatele: </w:t>
      </w:r>
      <w:r>
        <w:t xml:space="preserve">přímé jednání </w:t>
      </w:r>
      <w:r w:rsidR="00CD5A12" w:rsidRPr="00CD5A12">
        <w:t xml:space="preserve">na základě výjimky </w:t>
      </w:r>
      <w:r w:rsidR="00CD5A12">
        <w:t>Evropské komise</w:t>
      </w:r>
      <w:r w:rsidR="00CD5A12" w:rsidRPr="00CD5A12">
        <w:t xml:space="preserve"> z</w:t>
      </w:r>
      <w:r w:rsidR="00282D6D">
        <w:t> </w:t>
      </w:r>
      <w:r w:rsidR="00CD5A12" w:rsidRPr="00CD5A12">
        <w:t>aplikace zákona o veřejných zakázkách</w:t>
      </w:r>
    </w:p>
    <w:p w:rsidR="007E6DCD" w:rsidRDefault="007E6DCD" w:rsidP="00F55595">
      <w:pPr>
        <w:rPr>
          <w:rFonts w:cs="Arial"/>
        </w:rPr>
      </w:pPr>
      <w:r>
        <w:rPr>
          <w:rFonts w:cs="Arial"/>
        </w:rPr>
        <w:t>Detail:</w:t>
      </w:r>
    </w:p>
    <w:p w:rsidR="007E6DCD" w:rsidRPr="00417D3A" w:rsidRDefault="007E6DCD" w:rsidP="00F55595">
      <w:pPr>
        <w:rPr>
          <w:rFonts w:cs="Arial"/>
        </w:rPr>
      </w:pPr>
      <w:r w:rsidRPr="00417D3A">
        <w:rPr>
          <w:rFonts w:cs="Arial"/>
        </w:rPr>
        <w:t>Finská bilance výroby elektrické energie je deficitní.</w:t>
      </w:r>
    </w:p>
    <w:p w:rsidR="007E6DCD" w:rsidRPr="00417D3A" w:rsidRDefault="007E6DCD" w:rsidP="00F55595">
      <w:pPr>
        <w:jc w:val="both"/>
        <w:rPr>
          <w:rFonts w:cs="Arial"/>
        </w:rPr>
      </w:pPr>
      <w:r w:rsidRPr="00417D3A">
        <w:rPr>
          <w:rFonts w:cs="Arial"/>
        </w:rPr>
        <w:t>Legislativa stanovuje třístupňové povolovací řízení pro výstavbu jaderných zdrojů, jedná se o</w:t>
      </w:r>
      <w:r w:rsidR="00F55595">
        <w:rPr>
          <w:rFonts w:cs="Arial"/>
        </w:rPr>
        <w:t> </w:t>
      </w:r>
      <w:r w:rsidRPr="00417D3A">
        <w:rPr>
          <w:rFonts w:cs="Arial"/>
        </w:rPr>
        <w:t xml:space="preserve">následující kroky: </w:t>
      </w:r>
    </w:p>
    <w:p w:rsidR="007E6DCD" w:rsidRPr="00BC5536" w:rsidRDefault="007E6DCD" w:rsidP="00F55595">
      <w:pPr>
        <w:pStyle w:val="Odstavecseseznamem"/>
        <w:numPr>
          <w:ilvl w:val="0"/>
          <w:numId w:val="124"/>
        </w:numPr>
        <w:spacing w:before="120" w:after="120"/>
        <w:rPr>
          <w:rFonts w:cs="Arial"/>
        </w:rPr>
      </w:pPr>
      <w:proofErr w:type="spellStart"/>
      <w:r w:rsidRPr="00BC5536">
        <w:rPr>
          <w:rFonts w:cs="Arial"/>
        </w:rPr>
        <w:t>Decision</w:t>
      </w:r>
      <w:proofErr w:type="spellEnd"/>
      <w:r w:rsidRPr="00BC5536">
        <w:rPr>
          <w:rFonts w:cs="Arial"/>
        </w:rPr>
        <w:t xml:space="preserve"> in </w:t>
      </w:r>
      <w:proofErr w:type="spellStart"/>
      <w:r w:rsidRPr="00BC5536">
        <w:rPr>
          <w:rFonts w:cs="Arial"/>
        </w:rPr>
        <w:t>Principle</w:t>
      </w:r>
      <w:proofErr w:type="spellEnd"/>
      <w:r w:rsidRPr="00BC5536">
        <w:rPr>
          <w:rFonts w:cs="Arial"/>
        </w:rPr>
        <w:t xml:space="preserve"> - rozhodnutí vládních a povolovacích orgánů schválených parlamentem na základě:</w:t>
      </w:r>
    </w:p>
    <w:p w:rsidR="007E6DCD" w:rsidRPr="00BC5536" w:rsidRDefault="007E6DCD" w:rsidP="00F55595">
      <w:pPr>
        <w:pStyle w:val="Odstavecseseznamem"/>
        <w:numPr>
          <w:ilvl w:val="1"/>
          <w:numId w:val="118"/>
        </w:numPr>
        <w:spacing w:before="120" w:after="120"/>
        <w:rPr>
          <w:rFonts w:cs="Arial"/>
        </w:rPr>
      </w:pPr>
      <w:r w:rsidRPr="00BC5536">
        <w:rPr>
          <w:rFonts w:cs="Arial"/>
        </w:rPr>
        <w:t>Energetické politiky</w:t>
      </w:r>
    </w:p>
    <w:p w:rsidR="007E6DCD" w:rsidRPr="00BC5536" w:rsidRDefault="007E6DCD" w:rsidP="00F55595">
      <w:pPr>
        <w:pStyle w:val="Odstavecseseznamem"/>
        <w:numPr>
          <w:ilvl w:val="1"/>
          <w:numId w:val="118"/>
        </w:numPr>
        <w:spacing w:before="120" w:after="120"/>
        <w:rPr>
          <w:rFonts w:cs="Arial"/>
        </w:rPr>
      </w:pPr>
      <w:r w:rsidRPr="00BC5536">
        <w:rPr>
          <w:rFonts w:cs="Arial"/>
        </w:rPr>
        <w:t>Stanoviska k bezpečnosti ze strany STUK (Finský dozor, obdoba SÚJB)</w:t>
      </w:r>
    </w:p>
    <w:p w:rsidR="007E6DCD" w:rsidRPr="00BC5536" w:rsidRDefault="007E6DCD" w:rsidP="00F55595">
      <w:pPr>
        <w:pStyle w:val="Odstavecseseznamem"/>
        <w:numPr>
          <w:ilvl w:val="1"/>
          <w:numId w:val="118"/>
        </w:numPr>
        <w:spacing w:before="120" w:after="120"/>
        <w:rPr>
          <w:rFonts w:cs="Arial"/>
        </w:rPr>
      </w:pPr>
      <w:r w:rsidRPr="00BC5536">
        <w:rPr>
          <w:rFonts w:cs="Arial"/>
        </w:rPr>
        <w:t>Stanoviska k žádosti ze strany veřejnosti a DOSS</w:t>
      </w:r>
    </w:p>
    <w:p w:rsidR="007E6DCD" w:rsidRPr="00BC5536" w:rsidRDefault="007E6DCD" w:rsidP="00F55595">
      <w:pPr>
        <w:pStyle w:val="Odstavecseseznamem"/>
        <w:numPr>
          <w:ilvl w:val="1"/>
          <w:numId w:val="118"/>
        </w:numPr>
        <w:spacing w:before="120" w:after="120"/>
        <w:rPr>
          <w:rFonts w:cs="Arial"/>
        </w:rPr>
      </w:pPr>
      <w:r w:rsidRPr="00BC5536">
        <w:rPr>
          <w:rFonts w:cs="Arial"/>
        </w:rPr>
        <w:t>Stanoviska k lokalitě ze strany obcí</w:t>
      </w:r>
    </w:p>
    <w:p w:rsidR="007E6DCD" w:rsidRPr="00BC5536" w:rsidRDefault="007E6DCD" w:rsidP="00F55595">
      <w:pPr>
        <w:pStyle w:val="Odstavecseseznamem"/>
        <w:numPr>
          <w:ilvl w:val="0"/>
          <w:numId w:val="125"/>
        </w:numPr>
        <w:spacing w:before="120" w:after="120"/>
        <w:rPr>
          <w:rFonts w:cs="Arial"/>
        </w:rPr>
      </w:pPr>
      <w:r w:rsidRPr="00BC5536">
        <w:rPr>
          <w:rFonts w:cs="Arial"/>
        </w:rPr>
        <w:t>Stavební povolení</w:t>
      </w:r>
    </w:p>
    <w:p w:rsidR="007E6DCD" w:rsidRPr="00BC5536" w:rsidRDefault="007E6DCD" w:rsidP="00F55595">
      <w:pPr>
        <w:pStyle w:val="Odstavecseseznamem"/>
        <w:numPr>
          <w:ilvl w:val="0"/>
          <w:numId w:val="126"/>
        </w:numPr>
        <w:spacing w:before="120" w:after="120"/>
        <w:rPr>
          <w:rFonts w:cs="Arial"/>
        </w:rPr>
      </w:pPr>
      <w:r w:rsidRPr="00BC5536">
        <w:rPr>
          <w:rFonts w:cs="Arial"/>
        </w:rPr>
        <w:t>Provozní povolení</w:t>
      </w:r>
    </w:p>
    <w:p w:rsidR="007E6DCD" w:rsidRPr="00417D3A" w:rsidRDefault="007E6DCD" w:rsidP="00F55595">
      <w:pPr>
        <w:jc w:val="both"/>
        <w:rPr>
          <w:rFonts w:cs="Arial"/>
        </w:rPr>
      </w:pPr>
      <w:r w:rsidRPr="00417D3A">
        <w:rPr>
          <w:rFonts w:cs="Arial"/>
        </w:rPr>
        <w:t xml:space="preserve">Ve Finsku se využívá mimotržní model </w:t>
      </w:r>
      <w:proofErr w:type="spellStart"/>
      <w:r w:rsidRPr="00417D3A">
        <w:rPr>
          <w:rFonts w:cs="Arial"/>
        </w:rPr>
        <w:t>Mankala</w:t>
      </w:r>
      <w:proofErr w:type="spellEnd"/>
      <w:r w:rsidRPr="00417D3A">
        <w:rPr>
          <w:rFonts w:cs="Arial"/>
        </w:rPr>
        <w:t xml:space="preserve">, jehož cílem je diverzifikovat náklady a rizika velkých projektů mezi vlastníky, pro které by investice byla nerealizovatelná. Základním prvkem modelu je </w:t>
      </w:r>
      <w:proofErr w:type="spellStart"/>
      <w:r w:rsidRPr="00417D3A">
        <w:rPr>
          <w:rFonts w:cs="Arial"/>
        </w:rPr>
        <w:t>Power</w:t>
      </w:r>
      <w:proofErr w:type="spellEnd"/>
      <w:r w:rsidRPr="00417D3A">
        <w:rPr>
          <w:rFonts w:cs="Arial"/>
        </w:rPr>
        <w:t xml:space="preserve"> </w:t>
      </w:r>
      <w:proofErr w:type="spellStart"/>
      <w:r w:rsidRPr="00417D3A">
        <w:rPr>
          <w:rFonts w:cs="Arial"/>
        </w:rPr>
        <w:t>Purchase</w:t>
      </w:r>
      <w:proofErr w:type="spellEnd"/>
      <w:r w:rsidRPr="00417D3A">
        <w:rPr>
          <w:rFonts w:cs="Arial"/>
        </w:rPr>
        <w:t xml:space="preserve"> </w:t>
      </w:r>
      <w:proofErr w:type="spellStart"/>
      <w:r w:rsidRPr="00417D3A">
        <w:rPr>
          <w:rFonts w:cs="Arial"/>
        </w:rPr>
        <w:t>Agreement</w:t>
      </w:r>
      <w:proofErr w:type="spellEnd"/>
      <w:r w:rsidRPr="00417D3A">
        <w:rPr>
          <w:rFonts w:cs="Arial"/>
        </w:rPr>
        <w:t xml:space="preserve"> (PPA), kdy je investor složen ze společností, které garantují odběr elektřiny dle vlastnických podílů za nákladovou cenu po celou dobu životnosti.</w:t>
      </w:r>
    </w:p>
    <w:p w:rsidR="007E6DCD" w:rsidRPr="00417D3A" w:rsidRDefault="007E6DCD" w:rsidP="00F55595">
      <w:pPr>
        <w:rPr>
          <w:rFonts w:cs="Arial"/>
        </w:rPr>
      </w:pPr>
      <w:r w:rsidRPr="00417D3A">
        <w:rPr>
          <w:rFonts w:cs="Arial"/>
        </w:rPr>
        <w:t xml:space="preserve">U projektu </w:t>
      </w:r>
      <w:proofErr w:type="spellStart"/>
      <w:r w:rsidRPr="00417D3A">
        <w:rPr>
          <w:rFonts w:cs="Arial"/>
        </w:rPr>
        <w:t>Hanhikivi</w:t>
      </w:r>
      <w:proofErr w:type="spellEnd"/>
      <w:r w:rsidRPr="00417D3A">
        <w:rPr>
          <w:rFonts w:cs="Arial"/>
        </w:rPr>
        <w:t xml:space="preserve"> byl přímým jednáním vybrán </w:t>
      </w:r>
      <w:proofErr w:type="spellStart"/>
      <w:r w:rsidRPr="00417D3A">
        <w:rPr>
          <w:rFonts w:cs="Arial"/>
        </w:rPr>
        <w:t>koinvestor</w:t>
      </w:r>
      <w:proofErr w:type="spellEnd"/>
      <w:r w:rsidRPr="00417D3A">
        <w:rPr>
          <w:rFonts w:cs="Arial"/>
        </w:rPr>
        <w:t xml:space="preserve">, který přináší dodavatele a dluhové financování, což způsobuje: </w:t>
      </w:r>
    </w:p>
    <w:p w:rsidR="007E6DCD" w:rsidRPr="00BC5536" w:rsidRDefault="007E6DCD" w:rsidP="00F55595">
      <w:pPr>
        <w:pStyle w:val="Odstavecseseznamem"/>
        <w:numPr>
          <w:ilvl w:val="0"/>
          <w:numId w:val="123"/>
        </w:numPr>
        <w:spacing w:before="120" w:after="120"/>
        <w:rPr>
          <w:rFonts w:cs="Arial"/>
        </w:rPr>
      </w:pPr>
      <w:r w:rsidRPr="00BC5536">
        <w:rPr>
          <w:rFonts w:cs="Arial"/>
        </w:rPr>
        <w:t>Tlak na cenu kontraktu – snižování rezerv na rizika projektu</w:t>
      </w:r>
    </w:p>
    <w:p w:rsidR="007E6DCD" w:rsidRPr="00BC5536" w:rsidRDefault="007E6DCD" w:rsidP="00F55595">
      <w:pPr>
        <w:pStyle w:val="Odstavecseseznamem"/>
        <w:numPr>
          <w:ilvl w:val="0"/>
          <w:numId w:val="123"/>
        </w:numPr>
        <w:spacing w:before="120" w:after="120"/>
        <w:rPr>
          <w:rFonts w:cs="Arial"/>
        </w:rPr>
      </w:pPr>
      <w:r w:rsidRPr="00BC5536">
        <w:rPr>
          <w:rFonts w:cs="Arial"/>
        </w:rPr>
        <w:t>Vyšší tlak na dokončení projektu v původně stanovených parametrech</w:t>
      </w:r>
    </w:p>
    <w:p w:rsidR="007E6DCD" w:rsidRPr="00BC5536" w:rsidRDefault="007E6DCD" w:rsidP="00F55595">
      <w:pPr>
        <w:pStyle w:val="Odstavecseseznamem"/>
        <w:numPr>
          <w:ilvl w:val="0"/>
          <w:numId w:val="123"/>
        </w:numPr>
        <w:spacing w:before="120" w:after="120"/>
        <w:rPr>
          <w:rFonts w:cs="Arial"/>
        </w:rPr>
      </w:pPr>
      <w:r w:rsidRPr="00BC5536">
        <w:rPr>
          <w:rFonts w:cs="Arial"/>
        </w:rPr>
        <w:t xml:space="preserve">Vyšší rating </w:t>
      </w:r>
      <w:proofErr w:type="spellStart"/>
      <w:r w:rsidRPr="00BC5536">
        <w:rPr>
          <w:rFonts w:cs="Arial"/>
        </w:rPr>
        <w:t>koinvestora</w:t>
      </w:r>
      <w:proofErr w:type="spellEnd"/>
      <w:r w:rsidRPr="00BC5536">
        <w:rPr>
          <w:rFonts w:cs="Arial"/>
        </w:rPr>
        <w:t xml:space="preserve"> zvyšuje rating projektu</w:t>
      </w:r>
    </w:p>
    <w:p w:rsidR="007E6DCD" w:rsidRPr="00417D3A" w:rsidRDefault="007E6DCD" w:rsidP="00F55595">
      <w:pPr>
        <w:jc w:val="both"/>
        <w:rPr>
          <w:rFonts w:cs="Arial"/>
        </w:rPr>
      </w:pPr>
      <w:r w:rsidRPr="00417D3A">
        <w:rPr>
          <w:rFonts w:cs="Arial"/>
        </w:rPr>
        <w:t>Opatření a záruky (struktura investičního modelu, da</w:t>
      </w:r>
      <w:r>
        <w:rPr>
          <w:rFonts w:cs="Arial"/>
        </w:rPr>
        <w:t>ňově nezatížená cena elektřiny,</w:t>
      </w:r>
      <w:r w:rsidRPr="00417D3A">
        <w:rPr>
          <w:rFonts w:cs="Arial"/>
        </w:rPr>
        <w:t xml:space="preserve"> dohodnutá cena elektřiny pro akcionáře v roce uvedení do provozu – PPA) znamenají výhodnější podmínky pro možnosti financování projektu a dosažení vysokého zapojení cizího kapitálu. Dochází ke snižování WACC</w:t>
      </w:r>
      <w:r>
        <w:rPr>
          <w:rFonts w:cs="Arial"/>
        </w:rPr>
        <w:t xml:space="preserve"> (vážených průměrných nákladů na kapitál)</w:t>
      </w:r>
      <w:r w:rsidRPr="00417D3A">
        <w:rPr>
          <w:rFonts w:cs="Arial"/>
        </w:rPr>
        <w:t xml:space="preserve"> z důvodů snižování zatížení dluhové služby, což je způsobeno úvěrovými možnostmi, které nabízí exportní úvěr a převoditelné dluhopisy, garancí projektu PPA kontraktem a zapojení komerčních úvěrů v pokročilejší fázi projektu. </w:t>
      </w:r>
    </w:p>
    <w:p w:rsidR="007E6DCD" w:rsidRPr="00BC5536" w:rsidRDefault="007E6DCD" w:rsidP="00F55595">
      <w:pPr>
        <w:pStyle w:val="Odstavecseseznamem"/>
        <w:numPr>
          <w:ilvl w:val="0"/>
          <w:numId w:val="127"/>
        </w:numPr>
        <w:spacing w:before="120" w:after="120"/>
        <w:jc w:val="both"/>
        <w:rPr>
          <w:rFonts w:cs="Arial"/>
        </w:rPr>
      </w:pPr>
      <w:proofErr w:type="spellStart"/>
      <w:r w:rsidRPr="00BC5536">
        <w:rPr>
          <w:rFonts w:cs="Arial"/>
        </w:rPr>
        <w:t>Rosatom</w:t>
      </w:r>
      <w:proofErr w:type="spellEnd"/>
      <w:r w:rsidRPr="00BC5536">
        <w:rPr>
          <w:rFonts w:cs="Arial"/>
        </w:rPr>
        <w:t xml:space="preserve">, který dodává technologii (1×MIR1200), získal 34 % v projektu </w:t>
      </w:r>
      <w:proofErr w:type="gramStart"/>
      <w:r w:rsidRPr="00BC5536">
        <w:rPr>
          <w:rFonts w:cs="Arial"/>
        </w:rPr>
        <w:t>místo E.ON</w:t>
      </w:r>
      <w:proofErr w:type="gramEnd"/>
      <w:r w:rsidRPr="00BC5536">
        <w:rPr>
          <w:rFonts w:cs="Arial"/>
        </w:rPr>
        <w:t xml:space="preserve">, který z projektu odstoupil, zbytek vlastní finští investoři. </w:t>
      </w:r>
    </w:p>
    <w:p w:rsidR="007E6DCD" w:rsidRPr="00BC5536" w:rsidRDefault="007E6DCD" w:rsidP="00F55595">
      <w:pPr>
        <w:pStyle w:val="Odstavecseseznamem"/>
        <w:numPr>
          <w:ilvl w:val="0"/>
          <w:numId w:val="127"/>
        </w:numPr>
        <w:spacing w:before="120" w:after="120"/>
        <w:rPr>
          <w:rFonts w:cs="Arial"/>
        </w:rPr>
      </w:pPr>
      <w:r w:rsidRPr="00BC5536">
        <w:rPr>
          <w:rFonts w:cs="Arial"/>
        </w:rPr>
        <w:t>Investiční náklady se odhadují na 4-6 mld</w:t>
      </w:r>
      <w:r>
        <w:rPr>
          <w:rFonts w:cs="Arial"/>
        </w:rPr>
        <w:t>.</w:t>
      </w:r>
      <w:r w:rsidRPr="00BC5536">
        <w:rPr>
          <w:rFonts w:cs="Arial"/>
        </w:rPr>
        <w:t xml:space="preserve"> EUR (podíl </w:t>
      </w:r>
      <w:proofErr w:type="spellStart"/>
      <w:r w:rsidRPr="00BC5536">
        <w:rPr>
          <w:rFonts w:cs="Arial"/>
        </w:rPr>
        <w:t>Rosatom</w:t>
      </w:r>
      <w:proofErr w:type="spellEnd"/>
      <w:r w:rsidRPr="00BC5536">
        <w:rPr>
          <w:rFonts w:cs="Arial"/>
        </w:rPr>
        <w:t xml:space="preserve"> odhad do 2 mld. EUR).</w:t>
      </w:r>
    </w:p>
    <w:p w:rsidR="007E6DCD" w:rsidRPr="00BC5536" w:rsidRDefault="007E6DCD" w:rsidP="00F55595">
      <w:pPr>
        <w:pStyle w:val="Odstavecseseznamem"/>
        <w:numPr>
          <w:ilvl w:val="0"/>
          <w:numId w:val="127"/>
        </w:numPr>
        <w:spacing w:before="120" w:after="120"/>
        <w:jc w:val="both"/>
        <w:rPr>
          <w:rFonts w:cs="Arial"/>
        </w:rPr>
      </w:pPr>
      <w:r w:rsidRPr="00BC5536">
        <w:rPr>
          <w:rFonts w:cs="Arial"/>
        </w:rPr>
        <w:lastRenderedPageBreak/>
        <w:t xml:space="preserve">Zajištění návratnosti investice očekává </w:t>
      </w:r>
      <w:proofErr w:type="spellStart"/>
      <w:r w:rsidRPr="00BC5536">
        <w:rPr>
          <w:rFonts w:cs="Arial"/>
        </w:rPr>
        <w:t>Rosatom</w:t>
      </w:r>
      <w:proofErr w:type="spellEnd"/>
      <w:r w:rsidRPr="00BC5536">
        <w:rPr>
          <w:rFonts w:cs="Arial"/>
        </w:rPr>
        <w:t xml:space="preserve"> prostřednictvím prodeje elektřiny na finském trhu, ostatní investoři mají zaručenu výrobní cenu elektřiny od </w:t>
      </w:r>
      <w:proofErr w:type="spellStart"/>
      <w:r w:rsidRPr="00BC5536">
        <w:rPr>
          <w:rFonts w:cs="Arial"/>
        </w:rPr>
        <w:t>Rosatom</w:t>
      </w:r>
      <w:proofErr w:type="spellEnd"/>
      <w:r w:rsidRPr="00BC5536">
        <w:rPr>
          <w:rFonts w:cs="Arial"/>
        </w:rPr>
        <w:t xml:space="preserve"> na úrovni cca 55 EUR/</w:t>
      </w:r>
      <w:proofErr w:type="spellStart"/>
      <w:r w:rsidRPr="00BC5536">
        <w:rPr>
          <w:rFonts w:cs="Arial"/>
        </w:rPr>
        <w:t>MWh</w:t>
      </w:r>
      <w:proofErr w:type="spellEnd"/>
      <w:r w:rsidRPr="00BC5536">
        <w:rPr>
          <w:rFonts w:cs="Arial"/>
        </w:rPr>
        <w:t xml:space="preserve"> (dále eskalovaných)</w:t>
      </w:r>
    </w:p>
    <w:p w:rsidR="007E6DCD" w:rsidRPr="00BC5536" w:rsidRDefault="007E6DCD" w:rsidP="00F55595">
      <w:pPr>
        <w:pStyle w:val="Odstavecseseznamem"/>
        <w:numPr>
          <w:ilvl w:val="0"/>
          <w:numId w:val="127"/>
        </w:numPr>
        <w:spacing w:before="120" w:after="120"/>
        <w:rPr>
          <w:rFonts w:cs="Arial"/>
        </w:rPr>
      </w:pPr>
      <w:r w:rsidRPr="00BC5536">
        <w:rPr>
          <w:rFonts w:cs="Arial"/>
        </w:rPr>
        <w:t xml:space="preserve">Předpokládá se, že </w:t>
      </w:r>
      <w:proofErr w:type="spellStart"/>
      <w:r w:rsidRPr="00BC5536">
        <w:rPr>
          <w:rFonts w:cs="Arial"/>
        </w:rPr>
        <w:t>Rosatom</w:t>
      </w:r>
      <w:proofErr w:type="spellEnd"/>
      <w:r w:rsidRPr="00BC5536">
        <w:rPr>
          <w:rFonts w:cs="Arial"/>
        </w:rPr>
        <w:t xml:space="preserve"> zajistí značnou část dluhového financování.</w:t>
      </w:r>
    </w:p>
    <w:p w:rsidR="007E6DCD" w:rsidRPr="00BC5536" w:rsidRDefault="007E6DCD" w:rsidP="00F55595">
      <w:pPr>
        <w:pStyle w:val="Odstavecseseznamem"/>
        <w:numPr>
          <w:ilvl w:val="0"/>
          <w:numId w:val="127"/>
        </w:numPr>
        <w:spacing w:before="120" w:after="120"/>
        <w:rPr>
          <w:rFonts w:cs="Arial"/>
        </w:rPr>
      </w:pPr>
      <w:r w:rsidRPr="00BC5536">
        <w:rPr>
          <w:rFonts w:cs="Arial"/>
        </w:rPr>
        <w:t>ZVZ: udělena výjimka (v roce 2006)</w:t>
      </w:r>
    </w:p>
    <w:p w:rsidR="007E6DCD" w:rsidRPr="00F55595" w:rsidRDefault="007E6DCD" w:rsidP="00F55595">
      <w:pPr>
        <w:rPr>
          <w:rFonts w:cs="Arial"/>
          <w:b/>
        </w:rPr>
      </w:pPr>
      <w:r w:rsidRPr="00F55595">
        <w:rPr>
          <w:rFonts w:cs="Arial"/>
          <w:b/>
        </w:rPr>
        <w:t>SWOT analýza pro použití stejného modelu v ČR: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3F62D8">
            <w:pPr>
              <w:spacing w:before="120" w:after="120"/>
              <w:jc w:val="center"/>
              <w:rPr>
                <w:rFonts w:cs="Arial"/>
                <w:b/>
              </w:rPr>
            </w:pPr>
            <w:r w:rsidRPr="0093170C">
              <w:rPr>
                <w:rFonts w:cs="Arial"/>
                <w:b/>
              </w:rPr>
              <w:t>S – silné stránky</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3F62D8">
            <w:pPr>
              <w:spacing w:before="120" w:after="120"/>
              <w:jc w:val="center"/>
              <w:rPr>
                <w:rFonts w:cs="Arial"/>
                <w:b/>
              </w:rPr>
            </w:pPr>
            <w:r w:rsidRPr="0093170C">
              <w:rPr>
                <w:rFonts w:cs="Arial"/>
                <w:b/>
              </w:rPr>
              <w:t>W – slabé stránky</w:t>
            </w:r>
          </w:p>
        </w:tc>
      </w:tr>
      <w:tr w:rsidR="007E6DCD" w:rsidRPr="0093170C" w:rsidTr="001C4914">
        <w:trPr>
          <w:trHeight w:val="3094"/>
        </w:trPr>
        <w:tc>
          <w:tcPr>
            <w:tcW w:w="2500" w:type="pct"/>
            <w:tcBorders>
              <w:top w:val="single" w:sz="12" w:space="0" w:color="auto"/>
              <w:left w:val="single" w:sz="12" w:space="0" w:color="auto"/>
              <w:bottom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Diverzifikace nákladů a rizik</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Tlak na cenu kontraktu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Tlak na včasné dokončení – zainteresování dodavatele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Financování pomocí výhodných úvěrů zajištěných PPA</w:t>
            </w:r>
          </w:p>
        </w:tc>
        <w:tc>
          <w:tcPr>
            <w:tcW w:w="2500" w:type="pct"/>
            <w:tcBorders>
              <w:top w:val="single" w:sz="12" w:space="0" w:color="auto"/>
              <w:bottom w:val="single" w:sz="12"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Není použitelné v podmínkách ČR – neexistuje dostatek silných investorů - spotřebitelů EE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Založeno na víře v nedostatek elektřiny v budoucnu a vyšší ceně elektřiny</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Nutný postup dle ZVZ nebo získání výjimky, příp. mezinárodní smlouva s nečlenem EU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Exportní banka půjčí peníze pro nákupy v zemi původu = nižší zapojení českého průmyslu</w:t>
            </w:r>
          </w:p>
        </w:tc>
      </w:tr>
      <w:tr w:rsidR="00F55595"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F55595" w:rsidRPr="0093170C" w:rsidRDefault="00F55595" w:rsidP="003F62D8">
            <w:pPr>
              <w:spacing w:before="120" w:after="120"/>
              <w:jc w:val="center"/>
              <w:rPr>
                <w:rFonts w:cs="Arial"/>
                <w:b/>
              </w:rPr>
            </w:pPr>
            <w:r w:rsidRPr="0093170C">
              <w:rPr>
                <w:rFonts w:cs="Arial"/>
                <w:b/>
              </w:rPr>
              <w:t>O - příležitosti</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F55595" w:rsidRPr="0093170C" w:rsidRDefault="00F55595" w:rsidP="003F62D8">
            <w:pPr>
              <w:spacing w:before="120" w:after="120"/>
              <w:jc w:val="center"/>
              <w:rPr>
                <w:rFonts w:cs="Arial"/>
                <w:b/>
              </w:rPr>
            </w:pPr>
            <w:r w:rsidRPr="0093170C">
              <w:rPr>
                <w:rFonts w:cs="Arial"/>
                <w:b/>
              </w:rPr>
              <w:t>T - hrozby</w:t>
            </w:r>
          </w:p>
        </w:tc>
      </w:tr>
      <w:tr w:rsidR="00F55595" w:rsidRPr="0087559F" w:rsidTr="001C4914">
        <w:trPr>
          <w:trHeight w:val="2090"/>
        </w:trPr>
        <w:tc>
          <w:tcPr>
            <w:tcW w:w="2500" w:type="pct"/>
            <w:tcBorders>
              <w:top w:val="single" w:sz="12" w:space="0" w:color="auto"/>
              <w:left w:val="single" w:sz="12" w:space="0" w:color="auto"/>
              <w:bottom w:val="thinThickSmallGap" w:sz="24" w:space="0" w:color="auto"/>
            </w:tcBorders>
            <w:shd w:val="clear" w:color="auto" w:fill="auto"/>
          </w:tcPr>
          <w:p w:rsidR="00F55595" w:rsidRPr="0087559F" w:rsidRDefault="00F55595" w:rsidP="00622590">
            <w:pPr>
              <w:pStyle w:val="Odstavecseseznamem"/>
              <w:numPr>
                <w:ilvl w:val="0"/>
                <w:numId w:val="119"/>
              </w:numPr>
              <w:spacing w:after="0"/>
              <w:ind w:left="414" w:hanging="357"/>
              <w:rPr>
                <w:rFonts w:cs="Arial"/>
              </w:rPr>
            </w:pPr>
            <w:r w:rsidRPr="0087559F">
              <w:rPr>
                <w:rFonts w:cs="Arial"/>
              </w:rPr>
              <w:t>Investoři garantují odběr elektřiny za nákladovou cenu – funguje při nižších tržních cenách EE</w:t>
            </w:r>
          </w:p>
          <w:p w:rsidR="00F55595" w:rsidRPr="0087559F" w:rsidRDefault="00F55595" w:rsidP="00622590">
            <w:pPr>
              <w:pStyle w:val="Odstavecseseznamem"/>
              <w:numPr>
                <w:ilvl w:val="0"/>
                <w:numId w:val="119"/>
              </w:numPr>
              <w:spacing w:after="0"/>
              <w:ind w:left="414" w:hanging="357"/>
              <w:rPr>
                <w:rFonts w:cs="Arial"/>
              </w:rPr>
            </w:pPr>
            <w:r w:rsidRPr="0087559F">
              <w:rPr>
                <w:rFonts w:cs="Arial"/>
              </w:rPr>
              <w:t>Při vysokých tržních cenách konkurenční výhoda pro investory</w:t>
            </w:r>
          </w:p>
          <w:p w:rsidR="00F55595" w:rsidRPr="0093170C" w:rsidRDefault="00F55595" w:rsidP="00622590">
            <w:pPr>
              <w:contextualSpacing/>
              <w:rPr>
                <w:rFonts w:cs="Arial"/>
              </w:rPr>
            </w:pPr>
          </w:p>
        </w:tc>
        <w:tc>
          <w:tcPr>
            <w:tcW w:w="2500" w:type="pct"/>
            <w:tcBorders>
              <w:top w:val="single" w:sz="12" w:space="0" w:color="auto"/>
              <w:bottom w:val="thinThickSmallGap" w:sz="24" w:space="0" w:color="auto"/>
              <w:right w:val="single" w:sz="12" w:space="0" w:color="auto"/>
            </w:tcBorders>
            <w:shd w:val="clear" w:color="auto" w:fill="auto"/>
          </w:tcPr>
          <w:p w:rsidR="00F55595" w:rsidRPr="0087559F" w:rsidRDefault="00F55595" w:rsidP="00622590">
            <w:pPr>
              <w:pStyle w:val="Odstavecseseznamem"/>
              <w:numPr>
                <w:ilvl w:val="0"/>
                <w:numId w:val="119"/>
              </w:numPr>
              <w:spacing w:after="0"/>
              <w:ind w:left="414" w:hanging="357"/>
              <w:rPr>
                <w:rFonts w:cs="Arial"/>
              </w:rPr>
            </w:pPr>
            <w:r w:rsidRPr="0087559F">
              <w:rPr>
                <w:rFonts w:cs="Arial"/>
              </w:rPr>
              <w:t>Vysoké riziko malého zájmu investorů v regionu</w:t>
            </w:r>
          </w:p>
          <w:p w:rsidR="00F55595" w:rsidRPr="0087559F" w:rsidRDefault="00F55595" w:rsidP="00622590">
            <w:pPr>
              <w:pStyle w:val="Odstavecseseznamem"/>
              <w:numPr>
                <w:ilvl w:val="0"/>
                <w:numId w:val="119"/>
              </w:numPr>
              <w:spacing w:after="0"/>
              <w:ind w:left="414" w:hanging="357"/>
              <w:rPr>
                <w:rFonts w:cs="Arial"/>
              </w:rPr>
            </w:pPr>
            <w:r w:rsidRPr="0087559F">
              <w:rPr>
                <w:rFonts w:cs="Arial"/>
              </w:rPr>
              <w:t>Trh s elektřinou může být ovlivňován dalšími regulacemi</w:t>
            </w:r>
          </w:p>
          <w:p w:rsidR="00F55595" w:rsidRPr="0087559F" w:rsidRDefault="00F55595" w:rsidP="00622590">
            <w:pPr>
              <w:pStyle w:val="Odstavecseseznamem"/>
              <w:numPr>
                <w:ilvl w:val="0"/>
                <w:numId w:val="119"/>
              </w:numPr>
              <w:spacing w:after="0"/>
              <w:ind w:left="414" w:hanging="357"/>
              <w:rPr>
                <w:rFonts w:cs="Arial"/>
              </w:rPr>
            </w:pPr>
            <w:r w:rsidRPr="0087559F">
              <w:rPr>
                <w:rFonts w:cs="Arial"/>
              </w:rPr>
              <w:t>Nezískání výjimky pro postup dle ZVZ nebo souhlasu pro mezinárodní smlouvu</w:t>
            </w:r>
          </w:p>
        </w:tc>
      </w:tr>
    </w:tbl>
    <w:p w:rsidR="007E6DCD" w:rsidRPr="00AA1C46" w:rsidRDefault="007E6DCD" w:rsidP="00F55595">
      <w:pPr>
        <w:spacing w:before="200"/>
        <w:rPr>
          <w:rFonts w:cs="Arial"/>
          <w:b/>
          <w:sz w:val="24"/>
          <w:szCs w:val="28"/>
        </w:rPr>
      </w:pPr>
      <w:r w:rsidRPr="00AA1C46">
        <w:rPr>
          <w:rFonts w:cs="Arial"/>
          <w:b/>
          <w:sz w:val="24"/>
          <w:szCs w:val="28"/>
        </w:rPr>
        <w:t>Shrnutí SWOT analýzy</w:t>
      </w:r>
      <w:r w:rsidR="00F55595" w:rsidRPr="00AA1C46">
        <w:rPr>
          <w:rFonts w:cs="Arial"/>
          <w:b/>
          <w:sz w:val="24"/>
          <w:szCs w:val="28"/>
        </w:rPr>
        <w:t>: prakticky nelze použít v ČR.</w:t>
      </w:r>
    </w:p>
    <w:p w:rsidR="007E6DCD" w:rsidRPr="00EC7B99" w:rsidRDefault="007E6DCD" w:rsidP="00EC7B99">
      <w:pPr>
        <w:rPr>
          <w:b/>
        </w:rPr>
      </w:pPr>
      <w:bookmarkStart w:id="319" w:name="_Toc396416644"/>
      <w:bookmarkStart w:id="320" w:name="_Toc398891674"/>
      <w:bookmarkStart w:id="321" w:name="_Toc402949111"/>
      <w:r w:rsidRPr="00EC7B99">
        <w:rPr>
          <w:b/>
        </w:rPr>
        <w:t xml:space="preserve">Maďarsko </w:t>
      </w:r>
      <w:bookmarkEnd w:id="319"/>
      <w:r w:rsidRPr="00EC7B99">
        <w:rPr>
          <w:b/>
        </w:rPr>
        <w:t>– projekt PAKS II (MIR 1200)</w:t>
      </w:r>
      <w:bookmarkEnd w:id="320"/>
      <w:bookmarkEnd w:id="321"/>
    </w:p>
    <w:p w:rsidR="007E6DCD" w:rsidRDefault="007E6DCD" w:rsidP="00F55595">
      <w:r>
        <w:rPr>
          <w:rFonts w:cs="Arial"/>
        </w:rPr>
        <w:t>Shrnutí</w:t>
      </w:r>
      <w:r w:rsidRPr="00B726E6">
        <w:t xml:space="preserve"> </w:t>
      </w:r>
      <w:r>
        <w:t>hlavních charakteristik:</w:t>
      </w:r>
    </w:p>
    <w:p w:rsidR="007E6DCD" w:rsidRDefault="007E6DCD" w:rsidP="00F55595">
      <w:pPr>
        <w:pStyle w:val="Odstavecseseznamem"/>
        <w:numPr>
          <w:ilvl w:val="0"/>
          <w:numId w:val="128"/>
        </w:numPr>
        <w:spacing w:before="240"/>
        <w:jc w:val="both"/>
      </w:pPr>
      <w:r>
        <w:t>Kdo nese investiční náklady: státní společnost</w:t>
      </w:r>
    </w:p>
    <w:p w:rsidR="007E6DCD" w:rsidRPr="00B726E6" w:rsidRDefault="007E6DCD" w:rsidP="00F55595">
      <w:pPr>
        <w:pStyle w:val="Odstavecseseznamem"/>
        <w:numPr>
          <w:ilvl w:val="0"/>
          <w:numId w:val="128"/>
        </w:numPr>
        <w:spacing w:before="240"/>
        <w:jc w:val="both"/>
        <w:rPr>
          <w:rFonts w:cs="Arial"/>
        </w:rPr>
      </w:pPr>
      <w:r>
        <w:t>Kdo ručí za cenu elektřiny: stát</w:t>
      </w:r>
    </w:p>
    <w:p w:rsidR="007E6DCD" w:rsidRPr="00B726E6" w:rsidRDefault="007E6DCD" w:rsidP="00F55595">
      <w:pPr>
        <w:pStyle w:val="Odstavecseseznamem"/>
        <w:numPr>
          <w:ilvl w:val="0"/>
          <w:numId w:val="128"/>
        </w:numPr>
        <w:spacing w:before="240"/>
        <w:jc w:val="both"/>
        <w:rPr>
          <w:rFonts w:cs="Arial"/>
        </w:rPr>
      </w:pPr>
      <w:r w:rsidRPr="00B726E6">
        <w:t>Jak proběhl/pr</w:t>
      </w:r>
      <w:r>
        <w:t>o</w:t>
      </w:r>
      <w:r w:rsidRPr="00B726E6">
        <w:t xml:space="preserve">běhne výběr dodavatele: </w:t>
      </w:r>
      <w:r>
        <w:t xml:space="preserve">strategická volba (přímé jednání) </w:t>
      </w:r>
    </w:p>
    <w:p w:rsidR="007E6DCD" w:rsidRPr="00417D3A" w:rsidRDefault="007E6DCD" w:rsidP="00F55595">
      <w:pPr>
        <w:rPr>
          <w:rFonts w:cs="Arial"/>
        </w:rPr>
      </w:pPr>
      <w:r>
        <w:rPr>
          <w:rFonts w:cs="Arial"/>
        </w:rPr>
        <w:t>Detail:</w:t>
      </w:r>
      <w:r w:rsidR="00F55595">
        <w:rPr>
          <w:rFonts w:cs="Arial"/>
        </w:rPr>
        <w:t xml:space="preserve"> </w:t>
      </w:r>
      <w:r w:rsidRPr="00417D3A">
        <w:rPr>
          <w:rFonts w:cs="Arial"/>
        </w:rPr>
        <w:t>Aktuální stav projektu a závěry vyplývající z něj jsou následující:</w:t>
      </w:r>
    </w:p>
    <w:p w:rsidR="007E6DCD" w:rsidRPr="00BC5536" w:rsidRDefault="007E6DCD" w:rsidP="00F55595">
      <w:pPr>
        <w:pStyle w:val="Odstavecseseznamem"/>
        <w:numPr>
          <w:ilvl w:val="0"/>
          <w:numId w:val="129"/>
        </w:numPr>
        <w:spacing w:before="120" w:after="120"/>
        <w:jc w:val="both"/>
        <w:rPr>
          <w:rFonts w:cs="Arial"/>
        </w:rPr>
      </w:pPr>
      <w:r w:rsidRPr="00BC5536">
        <w:rPr>
          <w:rFonts w:cs="Arial"/>
        </w:rPr>
        <w:t>Legislativa</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Využití výjimky podle směrnice o zadávání veřejných zakázek (</w:t>
      </w:r>
      <w:proofErr w:type="gramStart"/>
      <w:r w:rsidRPr="00BC5536">
        <w:rPr>
          <w:rFonts w:cs="Arial"/>
        </w:rPr>
        <w:t>2004/17) (mezivládní</w:t>
      </w:r>
      <w:proofErr w:type="gramEnd"/>
      <w:r w:rsidRPr="00BC5536">
        <w:rPr>
          <w:rFonts w:cs="Arial"/>
        </w:rPr>
        <w:t xml:space="preserve"> dohoda – HU</w:t>
      </w:r>
      <w:r>
        <w:rPr>
          <w:rFonts w:cs="Arial"/>
        </w:rPr>
        <w:t>-</w:t>
      </w:r>
      <w:r w:rsidRPr="00BC5536">
        <w:rPr>
          <w:rFonts w:cs="Arial"/>
        </w:rPr>
        <w:t xml:space="preserve">RU – dodavatel technologie </w:t>
      </w:r>
      <w:proofErr w:type="spellStart"/>
      <w:r w:rsidRPr="00BC5536">
        <w:rPr>
          <w:rFonts w:cs="Arial"/>
        </w:rPr>
        <w:t>Rosatom</w:t>
      </w:r>
      <w:proofErr w:type="spellEnd"/>
      <w:r w:rsidRPr="00BC5536">
        <w:rPr>
          <w:rFonts w:cs="Arial"/>
        </w:rPr>
        <w:t xml:space="preserve"> - (JE </w:t>
      </w:r>
      <w:proofErr w:type="spellStart"/>
      <w:r w:rsidRPr="00BC5536">
        <w:rPr>
          <w:rFonts w:cs="Arial"/>
        </w:rPr>
        <w:t>Paks</w:t>
      </w:r>
      <w:proofErr w:type="spellEnd"/>
      <w:r w:rsidRPr="00BC5536">
        <w:rPr>
          <w:rFonts w:cs="Arial"/>
        </w:rPr>
        <w:t xml:space="preserve"> MIR 1200)</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Změny povolovací a licenční legislativy se nepředpokládají</w:t>
      </w:r>
    </w:p>
    <w:p w:rsidR="001C4914" w:rsidRPr="001C4914" w:rsidRDefault="007E6DCD" w:rsidP="001C4914">
      <w:pPr>
        <w:pStyle w:val="Odstavecseseznamem"/>
        <w:numPr>
          <w:ilvl w:val="1"/>
          <w:numId w:val="118"/>
        </w:numPr>
        <w:spacing w:before="120" w:after="120"/>
        <w:jc w:val="both"/>
        <w:rPr>
          <w:rFonts w:cs="Arial"/>
        </w:rPr>
      </w:pPr>
      <w:r w:rsidRPr="001C4914">
        <w:rPr>
          <w:rFonts w:cs="Arial"/>
        </w:rPr>
        <w:t xml:space="preserve">Nutné úpravy legislativy v oblasti ochrany investic </w:t>
      </w:r>
      <w:r w:rsidR="001C4914" w:rsidRPr="001C4914">
        <w:rPr>
          <w:rFonts w:cs="Arial"/>
        </w:rPr>
        <w:br w:type="page"/>
      </w:r>
    </w:p>
    <w:p w:rsidR="007E6DCD" w:rsidRPr="00BC5536" w:rsidRDefault="007E6DCD" w:rsidP="00F55595">
      <w:pPr>
        <w:pStyle w:val="Odstavecseseznamem"/>
        <w:numPr>
          <w:ilvl w:val="0"/>
          <w:numId w:val="130"/>
        </w:numPr>
        <w:spacing w:before="120" w:after="120"/>
        <w:jc w:val="both"/>
        <w:rPr>
          <w:rFonts w:cs="Arial"/>
        </w:rPr>
      </w:pPr>
      <w:r w:rsidRPr="00BC5536">
        <w:rPr>
          <w:rFonts w:cs="Arial"/>
        </w:rPr>
        <w:lastRenderedPageBreak/>
        <w:t>Investiční model</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 xml:space="preserve">Projektová společnost (dceřiná společnost MVM s nedostačující </w:t>
      </w:r>
      <w:proofErr w:type="spellStart"/>
      <w:r w:rsidRPr="00BC5536">
        <w:rPr>
          <w:rFonts w:cs="Arial"/>
        </w:rPr>
        <w:t>equity</w:t>
      </w:r>
      <w:proofErr w:type="spellEnd"/>
      <w:r w:rsidRPr="00BC5536">
        <w:rPr>
          <w:rFonts w:cs="Arial"/>
        </w:rPr>
        <w:t>)</w:t>
      </w:r>
    </w:p>
    <w:p w:rsidR="007E6DCD" w:rsidRPr="00BC5536" w:rsidRDefault="007E6DCD" w:rsidP="00F55595">
      <w:pPr>
        <w:pStyle w:val="Odstavecseseznamem"/>
        <w:numPr>
          <w:ilvl w:val="0"/>
          <w:numId w:val="130"/>
        </w:numPr>
        <w:spacing w:before="120" w:after="120"/>
        <w:jc w:val="both"/>
        <w:rPr>
          <w:rFonts w:cs="Arial"/>
        </w:rPr>
      </w:pPr>
      <w:r w:rsidRPr="00BC5536">
        <w:rPr>
          <w:rFonts w:cs="Arial"/>
        </w:rPr>
        <w:t>Cena odhadována na cca 12 mld. EUR. Dluhové financování (Ruská federace)</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Státní úvěr (vláda Ruské federace) – probíhá notifikace veřejné podpory u Evropské komise podle článku 107 SFEU.</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Rámec 10 miliard EUR</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80 % každé odsouhlasené faktury</w:t>
      </w:r>
    </w:p>
    <w:p w:rsidR="007E6DCD" w:rsidRPr="00BC5536" w:rsidRDefault="007E6DCD" w:rsidP="00F55595">
      <w:pPr>
        <w:pStyle w:val="Odstavecseseznamem"/>
        <w:numPr>
          <w:ilvl w:val="0"/>
          <w:numId w:val="130"/>
        </w:numPr>
        <w:spacing w:before="120" w:after="120"/>
        <w:jc w:val="both"/>
        <w:rPr>
          <w:rFonts w:cs="Arial"/>
        </w:rPr>
      </w:pPr>
      <w:r w:rsidRPr="00BC5536">
        <w:rPr>
          <w:rFonts w:cs="Arial"/>
        </w:rPr>
        <w:t>Vlastní prostředky (maďarská vláda)</w:t>
      </w:r>
    </w:p>
    <w:p w:rsidR="007E6DCD" w:rsidRPr="00BC5536" w:rsidRDefault="007E6DCD" w:rsidP="00F55595">
      <w:pPr>
        <w:pStyle w:val="Odstavecseseznamem"/>
        <w:numPr>
          <w:ilvl w:val="1"/>
          <w:numId w:val="118"/>
        </w:numPr>
        <w:spacing w:before="120" w:after="120"/>
        <w:jc w:val="both"/>
        <w:rPr>
          <w:rFonts w:cs="Arial"/>
        </w:rPr>
      </w:pPr>
      <w:r w:rsidRPr="00BC5536">
        <w:rPr>
          <w:rFonts w:cs="Arial"/>
        </w:rPr>
        <w:t>20 % každé odsouhlasené faktury</w:t>
      </w:r>
    </w:p>
    <w:p w:rsidR="007E6DCD" w:rsidRPr="00BC5536" w:rsidRDefault="007E6DCD" w:rsidP="00F55595">
      <w:pPr>
        <w:pStyle w:val="Odstavecseseznamem"/>
        <w:numPr>
          <w:ilvl w:val="0"/>
          <w:numId w:val="130"/>
        </w:numPr>
        <w:spacing w:before="120" w:after="120"/>
        <w:jc w:val="both"/>
        <w:rPr>
          <w:rFonts w:cs="Arial"/>
        </w:rPr>
      </w:pPr>
      <w:r w:rsidRPr="00BC5536">
        <w:rPr>
          <w:rFonts w:cs="Arial"/>
        </w:rPr>
        <w:t>Nižší úroková sazba než na trhu (úvěr se nepromítne do cen elektřiny, ale do zadlužení státu).</w:t>
      </w:r>
    </w:p>
    <w:p w:rsidR="00F55595" w:rsidRDefault="007E6DCD" w:rsidP="00F55595">
      <w:pPr>
        <w:pStyle w:val="Odstavecseseznamem"/>
        <w:numPr>
          <w:ilvl w:val="0"/>
          <w:numId w:val="130"/>
        </w:numPr>
        <w:spacing w:before="120" w:after="120"/>
        <w:jc w:val="both"/>
        <w:rPr>
          <w:rFonts w:cs="Arial"/>
        </w:rPr>
      </w:pPr>
      <w:r w:rsidRPr="00BC5536">
        <w:rPr>
          <w:rFonts w:cs="Arial"/>
        </w:rPr>
        <w:t>Riziko cen elektřiny ponese zřejmě maďarský stát.</w:t>
      </w:r>
    </w:p>
    <w:p w:rsidR="007E6DCD" w:rsidRPr="00F55595" w:rsidRDefault="007E6DCD" w:rsidP="00F55595">
      <w:pPr>
        <w:rPr>
          <w:rFonts w:cs="Arial"/>
          <w:b/>
        </w:rPr>
      </w:pPr>
      <w:r w:rsidRPr="00F55595">
        <w:rPr>
          <w:rFonts w:cs="Arial"/>
          <w:b/>
        </w:rPr>
        <w:t>SWOT analýza pro použití stejného modelu v ČR: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S – silné stránky</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W – slabé stránky</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Využití výjimky ze zákona o zadávání veřejných zakázek</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Úrokové sazby jsou nižší</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Nulový přímý dopad na spotřebitele</w:t>
            </w:r>
          </w:p>
        </w:tc>
        <w:tc>
          <w:tcPr>
            <w:tcW w:w="2500" w:type="pct"/>
            <w:tcBorders>
              <w:top w:val="single" w:sz="12" w:space="0" w:color="auto"/>
              <w:bottom w:val="single" w:sz="12"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84"/>
              <w:rPr>
                <w:rFonts w:cs="Arial"/>
              </w:rPr>
            </w:pPr>
            <w:r w:rsidRPr="0087559F">
              <w:rPr>
                <w:rFonts w:cs="Arial"/>
              </w:rPr>
              <w:t>Profinancování investice dle podílu ze státního rozpočtu, ze státního dluhu mimo rozpočet nebo komerční dluh ručený státní garancí</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Riziko cen elektřiny nese státní rozpočet (nepřímý dopad na obyvatelstvo)</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Pouze pro dodavatele mimo EU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 xml:space="preserve">Minimální tlak na podmínky smlouvy – malá zainteresovanost dodavatele na plnění termínů a nárůstu nákladů </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O - příležitosti</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T - hrozby</w:t>
            </w:r>
          </w:p>
        </w:tc>
      </w:tr>
      <w:tr w:rsidR="007E6DCD" w:rsidRPr="0093170C" w:rsidTr="001C4914">
        <w:tc>
          <w:tcPr>
            <w:tcW w:w="2500" w:type="pct"/>
            <w:tcBorders>
              <w:top w:val="single" w:sz="12" w:space="0" w:color="auto"/>
              <w:left w:val="single" w:sz="12" w:space="0" w:color="auto"/>
              <w:bottom w:val="thinThickSmallGap" w:sz="24"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V případě vyšších výkupních cen – příjem pro státní pokladnu</w:t>
            </w:r>
          </w:p>
          <w:p w:rsidR="007E6DCD" w:rsidRPr="0093170C" w:rsidRDefault="007E6DCD" w:rsidP="00F55595">
            <w:pPr>
              <w:contextualSpacing/>
              <w:rPr>
                <w:rFonts w:cs="Arial"/>
              </w:rPr>
            </w:pPr>
          </w:p>
        </w:tc>
        <w:tc>
          <w:tcPr>
            <w:tcW w:w="2500" w:type="pct"/>
            <w:tcBorders>
              <w:top w:val="single" w:sz="12" w:space="0" w:color="auto"/>
              <w:bottom w:val="thinThickSmallGap" w:sz="24"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Neschválení notifikace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Neexistuje precedens – není jasné, zda je průchodné v rámci pravidel EK</w:t>
            </w:r>
          </w:p>
        </w:tc>
      </w:tr>
    </w:tbl>
    <w:p w:rsidR="007E6DCD" w:rsidRPr="00F55595" w:rsidRDefault="007E6DCD" w:rsidP="00F55595">
      <w:pPr>
        <w:spacing w:before="200"/>
        <w:rPr>
          <w:rFonts w:cs="Arial"/>
          <w:b/>
          <w:sz w:val="24"/>
          <w:szCs w:val="24"/>
        </w:rPr>
      </w:pPr>
      <w:r w:rsidRPr="00F55595">
        <w:rPr>
          <w:rFonts w:cs="Arial"/>
          <w:b/>
          <w:sz w:val="24"/>
          <w:szCs w:val="24"/>
        </w:rPr>
        <w:t xml:space="preserve">Shrnutí SWOT analýzy: lze použít v ČR za předpokladu silné angažovanosti státu a ochoty ke zvýšení státního dluhu. </w:t>
      </w:r>
    </w:p>
    <w:p w:rsidR="007E6DCD" w:rsidRPr="00EC7B99" w:rsidRDefault="007E6DCD" w:rsidP="00EC7B99">
      <w:pPr>
        <w:rPr>
          <w:b/>
        </w:rPr>
      </w:pPr>
      <w:bookmarkStart w:id="322" w:name="_Toc398891675"/>
      <w:bookmarkStart w:id="323" w:name="_Toc402949112"/>
      <w:r w:rsidRPr="00EC7B99">
        <w:rPr>
          <w:b/>
        </w:rPr>
        <w:t>Litva</w:t>
      </w:r>
      <w:bookmarkEnd w:id="322"/>
      <w:r w:rsidRPr="00EC7B99">
        <w:rPr>
          <w:b/>
        </w:rPr>
        <w:t xml:space="preserve"> (</w:t>
      </w:r>
      <w:proofErr w:type="spellStart"/>
      <w:r w:rsidRPr="00EC7B99">
        <w:rPr>
          <w:b/>
        </w:rPr>
        <w:t>Hitachi</w:t>
      </w:r>
      <w:proofErr w:type="spellEnd"/>
      <w:r w:rsidRPr="00EC7B99">
        <w:rPr>
          <w:b/>
        </w:rPr>
        <w:t xml:space="preserve"> – GE)</w:t>
      </w:r>
      <w:bookmarkEnd w:id="323"/>
    </w:p>
    <w:p w:rsidR="007E6DCD" w:rsidRDefault="007E6DCD" w:rsidP="00F55595">
      <w:r>
        <w:rPr>
          <w:rFonts w:cs="Arial"/>
        </w:rPr>
        <w:t>Shrnutí</w:t>
      </w:r>
      <w:r w:rsidRPr="00B726E6">
        <w:t xml:space="preserve"> </w:t>
      </w:r>
      <w:r>
        <w:t>hlavních charakteristik:</w:t>
      </w:r>
    </w:p>
    <w:p w:rsidR="007E6DCD" w:rsidRDefault="007E6DCD" w:rsidP="00F55595">
      <w:pPr>
        <w:pStyle w:val="Odstavecseseznamem"/>
        <w:numPr>
          <w:ilvl w:val="0"/>
          <w:numId w:val="131"/>
        </w:numPr>
        <w:spacing w:before="240"/>
        <w:jc w:val="both"/>
      </w:pPr>
      <w:r>
        <w:t>Kdo nese investiční náklady: investoři a dodavatel technologie</w:t>
      </w:r>
    </w:p>
    <w:p w:rsidR="007E6DCD" w:rsidRPr="00B726E6" w:rsidRDefault="007E6DCD" w:rsidP="00F55595">
      <w:pPr>
        <w:pStyle w:val="Odstavecseseznamem"/>
        <w:numPr>
          <w:ilvl w:val="0"/>
          <w:numId w:val="131"/>
        </w:numPr>
        <w:spacing w:before="240"/>
        <w:jc w:val="both"/>
        <w:rPr>
          <w:rFonts w:cs="Arial"/>
        </w:rPr>
      </w:pPr>
      <w:r>
        <w:t>Kdo ručí za cenu elektřiny: investoři, kteří jsou zároveň odběratelé</w:t>
      </w:r>
    </w:p>
    <w:p w:rsidR="001C4914" w:rsidRDefault="007E6DCD" w:rsidP="00F55595">
      <w:pPr>
        <w:pStyle w:val="Odstavecseseznamem"/>
        <w:numPr>
          <w:ilvl w:val="0"/>
          <w:numId w:val="131"/>
        </w:numPr>
        <w:spacing w:before="240"/>
        <w:jc w:val="both"/>
      </w:pPr>
      <w:r w:rsidRPr="00B726E6">
        <w:t>Jak proběhl/pr</w:t>
      </w:r>
      <w:r>
        <w:t>o</w:t>
      </w:r>
      <w:r w:rsidRPr="00B726E6">
        <w:t xml:space="preserve">běhne výběr dodavatele: </w:t>
      </w:r>
      <w:r>
        <w:t xml:space="preserve">tendr </w:t>
      </w:r>
    </w:p>
    <w:p w:rsidR="001C4914" w:rsidRDefault="001C4914">
      <w:r>
        <w:br w:type="page"/>
      </w:r>
    </w:p>
    <w:p w:rsidR="007E6DCD" w:rsidRDefault="007E6DCD" w:rsidP="00F55595">
      <w:pPr>
        <w:rPr>
          <w:rFonts w:cs="Arial"/>
        </w:rPr>
      </w:pPr>
      <w:r>
        <w:rPr>
          <w:rFonts w:cs="Arial"/>
        </w:rPr>
        <w:lastRenderedPageBreak/>
        <w:t>Detail:</w:t>
      </w:r>
    </w:p>
    <w:p w:rsidR="007E6DCD" w:rsidRPr="00417D3A" w:rsidRDefault="007E6DCD" w:rsidP="00F55595">
      <w:pPr>
        <w:rPr>
          <w:rFonts w:cs="Arial"/>
        </w:rPr>
      </w:pPr>
      <w:r w:rsidRPr="00417D3A">
        <w:rPr>
          <w:rFonts w:cs="Arial"/>
        </w:rPr>
        <w:t xml:space="preserve">Hlavní aspekty projektu JE </w:t>
      </w:r>
      <w:proofErr w:type="spellStart"/>
      <w:r w:rsidRPr="00417D3A">
        <w:rPr>
          <w:rFonts w:cs="Arial"/>
        </w:rPr>
        <w:t>Visaginas</w:t>
      </w:r>
      <w:proofErr w:type="spellEnd"/>
      <w:r w:rsidRPr="00417D3A">
        <w:rPr>
          <w:rFonts w:cs="Arial"/>
        </w:rPr>
        <w:t>:</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Deficit výroby elektrické energie v Litvě</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Politická vůle a zjednodušení povolovací legislativy v kombinaci s vhodným investičním modelem/financováním vytvářejí vhodné podmínky realizace projektu</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 xml:space="preserve">Komplexní legislativní změny řady zákonů včetně vytvoření Zákona o nové jaderné elektrárně </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 xml:space="preserve">Investiční model vytvořený z elektrárenských společností sousedních zemí (Estonsko, Litva a původně i Polsko) a doplněný o silného </w:t>
      </w:r>
      <w:proofErr w:type="spellStart"/>
      <w:r w:rsidRPr="00BC5536">
        <w:rPr>
          <w:rFonts w:cs="Arial"/>
        </w:rPr>
        <w:t>koinvestora</w:t>
      </w:r>
      <w:proofErr w:type="spellEnd"/>
      <w:r w:rsidRPr="00BC5536">
        <w:rPr>
          <w:rFonts w:cs="Arial"/>
        </w:rPr>
        <w:t>, který financuje a dodává projekt</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Technologie – ABWR - JE s varným reaktorem (</w:t>
      </w:r>
      <w:proofErr w:type="spellStart"/>
      <w:r w:rsidRPr="00BC5536">
        <w:rPr>
          <w:rFonts w:cs="Arial"/>
        </w:rPr>
        <w:t>Hitachi</w:t>
      </w:r>
      <w:proofErr w:type="spellEnd"/>
      <w:r w:rsidRPr="00BC5536">
        <w:rPr>
          <w:rFonts w:cs="Arial"/>
        </w:rPr>
        <w:t xml:space="preserve"> – GE) </w:t>
      </w:r>
    </w:p>
    <w:p w:rsidR="007E6DCD" w:rsidRPr="00BC5536" w:rsidRDefault="007E6DCD" w:rsidP="00F55595">
      <w:pPr>
        <w:pStyle w:val="Odstavecseseznamem"/>
        <w:numPr>
          <w:ilvl w:val="0"/>
          <w:numId w:val="132"/>
        </w:numPr>
        <w:spacing w:before="120" w:after="120"/>
        <w:jc w:val="both"/>
        <w:rPr>
          <w:rFonts w:cs="Arial"/>
        </w:rPr>
      </w:pPr>
      <w:r w:rsidRPr="00BC5536">
        <w:rPr>
          <w:rFonts w:cs="Arial"/>
        </w:rPr>
        <w:t xml:space="preserve">Financování s využitím výhodných úvěrových podmínek zajištěných PPA </w:t>
      </w:r>
    </w:p>
    <w:p w:rsidR="007E6DCD" w:rsidRPr="00417D3A" w:rsidRDefault="007E6DCD" w:rsidP="00F55595">
      <w:pPr>
        <w:contextualSpacing/>
        <w:rPr>
          <w:rFonts w:cs="Arial"/>
        </w:rPr>
      </w:pPr>
      <w:r w:rsidRPr="00417D3A">
        <w:rPr>
          <w:rFonts w:cs="Arial"/>
        </w:rPr>
        <w:t>SWOT analýza pro použití stejného modelu v ČR je obdobná jako pro Finsko.</w:t>
      </w:r>
    </w:p>
    <w:p w:rsidR="003301CD" w:rsidRDefault="007E6DCD" w:rsidP="00F55595">
      <w:pPr>
        <w:rPr>
          <w:rFonts w:cs="Arial"/>
        </w:rPr>
      </w:pPr>
      <w:r w:rsidRPr="00417D3A">
        <w:rPr>
          <w:rFonts w:cs="Arial"/>
        </w:rPr>
        <w:t>Navíc je zde silnou stránkou spojení několika zemí a tím i diverzifikace rizik.</w:t>
      </w:r>
    </w:p>
    <w:p w:rsidR="007E6DCD" w:rsidRPr="00F55595" w:rsidRDefault="007E6DCD" w:rsidP="00EC7B99">
      <w:pPr>
        <w:rPr>
          <w:rFonts w:cs="Arial"/>
          <w:b/>
          <w:sz w:val="24"/>
          <w:szCs w:val="24"/>
        </w:rPr>
      </w:pPr>
      <w:r w:rsidRPr="00F55595">
        <w:rPr>
          <w:rFonts w:cs="Arial"/>
          <w:b/>
          <w:sz w:val="24"/>
          <w:szCs w:val="24"/>
        </w:rPr>
        <w:t xml:space="preserve">Shrnutí SWOT analýzy: prakticky nelze použít v ČR. </w:t>
      </w:r>
    </w:p>
    <w:p w:rsidR="007E6DCD" w:rsidRPr="00EC7B99" w:rsidRDefault="007E6DCD" w:rsidP="001C4914">
      <w:pPr>
        <w:spacing w:before="120" w:after="120"/>
        <w:rPr>
          <w:b/>
        </w:rPr>
      </w:pPr>
      <w:bookmarkStart w:id="324" w:name="_Toc398891676"/>
      <w:bookmarkStart w:id="325" w:name="_Toc402949113"/>
      <w:r w:rsidRPr="00EC7B99">
        <w:rPr>
          <w:b/>
        </w:rPr>
        <w:t xml:space="preserve">Anglie – projekt </w:t>
      </w:r>
      <w:proofErr w:type="spellStart"/>
      <w:r w:rsidRPr="00EC7B99">
        <w:rPr>
          <w:b/>
        </w:rPr>
        <w:t>Hinkley</w:t>
      </w:r>
      <w:proofErr w:type="spellEnd"/>
      <w:r w:rsidRPr="00EC7B99">
        <w:rPr>
          <w:b/>
        </w:rPr>
        <w:t xml:space="preserve"> Point C (EPR1600)</w:t>
      </w:r>
      <w:bookmarkEnd w:id="324"/>
      <w:bookmarkEnd w:id="325"/>
    </w:p>
    <w:p w:rsidR="007E6DCD" w:rsidRPr="00417D3A" w:rsidRDefault="007E6DCD" w:rsidP="001C4914">
      <w:pPr>
        <w:rPr>
          <w:rFonts w:cs="Arial"/>
        </w:rPr>
      </w:pPr>
      <w:r w:rsidRPr="00417D3A">
        <w:rPr>
          <w:rFonts w:cs="Arial"/>
        </w:rPr>
        <w:t>V současnosti připravují projekty 3 konsorcia:</w:t>
      </w:r>
    </w:p>
    <w:p w:rsidR="007E6DCD" w:rsidRPr="00BC5536" w:rsidRDefault="007E6DCD" w:rsidP="00F55595">
      <w:pPr>
        <w:pStyle w:val="Odstavecseseznamem"/>
        <w:numPr>
          <w:ilvl w:val="0"/>
          <w:numId w:val="133"/>
        </w:numPr>
        <w:spacing w:before="120" w:after="120"/>
        <w:jc w:val="both"/>
        <w:rPr>
          <w:rFonts w:cs="Arial"/>
        </w:rPr>
      </w:pPr>
      <w:proofErr w:type="spellStart"/>
      <w:r w:rsidRPr="00BC5536">
        <w:rPr>
          <w:rFonts w:cs="Arial"/>
        </w:rPr>
        <w:t>EdF</w:t>
      </w:r>
      <w:proofErr w:type="spellEnd"/>
      <w:r w:rsidRPr="00BC5536">
        <w:rPr>
          <w:rFonts w:cs="Arial"/>
        </w:rPr>
        <w:t xml:space="preserve"> </w:t>
      </w:r>
      <w:proofErr w:type="spellStart"/>
      <w:r w:rsidRPr="00BC5536">
        <w:rPr>
          <w:rFonts w:cs="Arial"/>
        </w:rPr>
        <w:t>Energy</w:t>
      </w:r>
      <w:proofErr w:type="spellEnd"/>
      <w:r w:rsidRPr="00BC5536">
        <w:rPr>
          <w:rFonts w:cs="Arial"/>
        </w:rPr>
        <w:t xml:space="preserve"> (Projekt </w:t>
      </w:r>
      <w:proofErr w:type="spellStart"/>
      <w:r w:rsidRPr="00BC5536">
        <w:rPr>
          <w:rFonts w:cs="Arial"/>
        </w:rPr>
        <w:t>Hinkley</w:t>
      </w:r>
      <w:proofErr w:type="spellEnd"/>
      <w:r w:rsidRPr="00BC5536">
        <w:rPr>
          <w:rFonts w:cs="Arial"/>
        </w:rPr>
        <w:t xml:space="preserve"> Point C</w:t>
      </w:r>
      <w:r>
        <w:rPr>
          <w:rStyle w:val="Znakapoznpodarou"/>
          <w:rFonts w:cs="Arial"/>
        </w:rPr>
        <w:footnoteReference w:id="18"/>
      </w:r>
      <w:r w:rsidRPr="00BC5536">
        <w:rPr>
          <w:rFonts w:cs="Arial"/>
        </w:rPr>
        <w:t xml:space="preserve"> - EDF /45-50 %/, CNNC+CGN /30-40 %/, AREVA /10 %/, ostatní investoři /15 %/), projekt 2 × EPR1600 AREVA.</w:t>
      </w:r>
    </w:p>
    <w:p w:rsidR="007E6DCD" w:rsidRPr="00BC5536" w:rsidRDefault="007E6DCD" w:rsidP="00F55595">
      <w:pPr>
        <w:pStyle w:val="Odstavecseseznamem"/>
        <w:numPr>
          <w:ilvl w:val="0"/>
          <w:numId w:val="133"/>
        </w:numPr>
        <w:spacing w:before="120" w:after="120"/>
        <w:jc w:val="both"/>
        <w:rPr>
          <w:rFonts w:cs="Arial"/>
        </w:rPr>
      </w:pPr>
      <w:proofErr w:type="spellStart"/>
      <w:r w:rsidRPr="00BC5536">
        <w:rPr>
          <w:rFonts w:cs="Arial"/>
        </w:rPr>
        <w:t>Horizon</w:t>
      </w:r>
      <w:proofErr w:type="spellEnd"/>
      <w:r w:rsidRPr="00BC5536">
        <w:rPr>
          <w:rFonts w:cs="Arial"/>
        </w:rPr>
        <w:t xml:space="preserve"> (</w:t>
      </w:r>
      <w:proofErr w:type="spellStart"/>
      <w:r w:rsidRPr="00BC5536">
        <w:rPr>
          <w:rFonts w:cs="Arial"/>
        </w:rPr>
        <w:t>Hitachi</w:t>
      </w:r>
      <w:proofErr w:type="spellEnd"/>
      <w:r w:rsidRPr="00BC5536">
        <w:rPr>
          <w:rFonts w:cs="Arial"/>
        </w:rPr>
        <w:t xml:space="preserve"> 100</w:t>
      </w:r>
      <w:r>
        <w:rPr>
          <w:rFonts w:cs="Arial"/>
        </w:rPr>
        <w:t xml:space="preserve"> </w:t>
      </w:r>
      <w:r w:rsidRPr="00BC5536">
        <w:rPr>
          <w:rFonts w:cs="Arial"/>
        </w:rPr>
        <w:t>%) 5400MW- ABWR GE-</w:t>
      </w:r>
      <w:proofErr w:type="spellStart"/>
      <w:r w:rsidRPr="00BC5536">
        <w:rPr>
          <w:rFonts w:cs="Arial"/>
        </w:rPr>
        <w:t>Hitachi</w:t>
      </w:r>
      <w:proofErr w:type="spellEnd"/>
      <w:r w:rsidRPr="00BC5536">
        <w:rPr>
          <w:rFonts w:cs="Arial"/>
        </w:rPr>
        <w:t xml:space="preserve"> (varný reaktor)</w:t>
      </w:r>
    </w:p>
    <w:p w:rsidR="007E6DCD" w:rsidRPr="00BC5536" w:rsidRDefault="007E6DCD" w:rsidP="00F55595">
      <w:pPr>
        <w:pStyle w:val="Odstavecseseznamem"/>
        <w:numPr>
          <w:ilvl w:val="0"/>
          <w:numId w:val="133"/>
        </w:numPr>
        <w:spacing w:before="120" w:after="120"/>
        <w:jc w:val="both"/>
        <w:rPr>
          <w:rFonts w:cs="Arial"/>
        </w:rPr>
      </w:pPr>
      <w:proofErr w:type="spellStart"/>
      <w:r w:rsidRPr="00BC5536">
        <w:rPr>
          <w:rFonts w:cs="Arial"/>
        </w:rPr>
        <w:t>NuGeneneration</w:t>
      </w:r>
      <w:proofErr w:type="spellEnd"/>
      <w:r w:rsidRPr="00BC5536">
        <w:rPr>
          <w:rFonts w:cs="Arial"/>
        </w:rPr>
        <w:t xml:space="preserve"> (60</w:t>
      </w:r>
      <w:r>
        <w:rPr>
          <w:rFonts w:cs="Arial"/>
        </w:rPr>
        <w:t xml:space="preserve"> </w:t>
      </w:r>
      <w:r w:rsidRPr="00BC5536">
        <w:rPr>
          <w:rFonts w:cs="Arial"/>
        </w:rPr>
        <w:t>%</w:t>
      </w:r>
      <w:r>
        <w:rPr>
          <w:rFonts w:cs="Arial"/>
        </w:rPr>
        <w:t xml:space="preserve"> </w:t>
      </w:r>
      <w:r w:rsidRPr="00BC5536">
        <w:rPr>
          <w:rFonts w:cs="Arial"/>
        </w:rPr>
        <w:t>Toshiba, 40</w:t>
      </w:r>
      <w:r>
        <w:rPr>
          <w:rFonts w:cs="Arial"/>
        </w:rPr>
        <w:t xml:space="preserve"> </w:t>
      </w:r>
      <w:r w:rsidRPr="00BC5536">
        <w:rPr>
          <w:rFonts w:cs="Arial"/>
        </w:rPr>
        <w:t xml:space="preserve">% </w:t>
      </w:r>
      <w:proofErr w:type="spellStart"/>
      <w:r w:rsidRPr="00BC5536">
        <w:rPr>
          <w:rFonts w:cs="Arial"/>
        </w:rPr>
        <w:t>GdF</w:t>
      </w:r>
      <w:proofErr w:type="spellEnd"/>
      <w:r w:rsidRPr="00BC5536">
        <w:rPr>
          <w:rFonts w:cs="Arial"/>
        </w:rPr>
        <w:t xml:space="preserve"> Suez), 3×1200MW (AP1000 </w:t>
      </w:r>
      <w:proofErr w:type="spellStart"/>
      <w:r w:rsidRPr="00BC5536">
        <w:rPr>
          <w:rFonts w:cs="Arial"/>
        </w:rPr>
        <w:t>Westinghouse</w:t>
      </w:r>
      <w:proofErr w:type="spellEnd"/>
      <w:r w:rsidRPr="00BC5536">
        <w:rPr>
          <w:rFonts w:cs="Arial"/>
        </w:rPr>
        <w:t>)</w:t>
      </w:r>
    </w:p>
    <w:p w:rsidR="007E6DCD" w:rsidRDefault="007E6DCD" w:rsidP="00F55595">
      <w:pPr>
        <w:spacing w:before="200"/>
        <w:rPr>
          <w:rFonts w:cs="Arial"/>
        </w:rPr>
      </w:pPr>
      <w:r w:rsidRPr="00417D3A">
        <w:rPr>
          <w:rFonts w:cs="Arial"/>
        </w:rPr>
        <w:t>Příklad pro</w:t>
      </w:r>
      <w:r w:rsidR="00F55595">
        <w:rPr>
          <w:rFonts w:cs="Arial"/>
        </w:rPr>
        <w:t xml:space="preserve">jektu v nejpokročilejší fázi - </w:t>
      </w:r>
      <w:proofErr w:type="spellStart"/>
      <w:r w:rsidRPr="00417D3A">
        <w:rPr>
          <w:rFonts w:cs="Arial"/>
        </w:rPr>
        <w:t>EdF</w:t>
      </w:r>
      <w:proofErr w:type="spellEnd"/>
      <w:r w:rsidRPr="00417D3A">
        <w:rPr>
          <w:rFonts w:cs="Arial"/>
        </w:rPr>
        <w:t xml:space="preserve"> </w:t>
      </w:r>
      <w:proofErr w:type="spellStart"/>
      <w:r w:rsidRPr="00417D3A">
        <w:rPr>
          <w:rFonts w:cs="Arial"/>
        </w:rPr>
        <w:t>Energy</w:t>
      </w:r>
      <w:proofErr w:type="spellEnd"/>
      <w:r w:rsidRPr="00417D3A">
        <w:rPr>
          <w:rFonts w:cs="Arial"/>
        </w:rPr>
        <w:t xml:space="preserve"> - JE </w:t>
      </w:r>
      <w:proofErr w:type="spellStart"/>
      <w:r w:rsidRPr="00417D3A">
        <w:rPr>
          <w:rFonts w:cs="Arial"/>
        </w:rPr>
        <w:t>Hinkley</w:t>
      </w:r>
      <w:proofErr w:type="spellEnd"/>
      <w:r w:rsidRPr="00417D3A">
        <w:rPr>
          <w:rFonts w:cs="Arial"/>
        </w:rPr>
        <w:t xml:space="preserve"> Point C - EPR1600</w:t>
      </w:r>
    </w:p>
    <w:p w:rsidR="007E6DCD" w:rsidRDefault="007E6DCD" w:rsidP="001C4914">
      <w:pPr>
        <w:spacing w:after="120"/>
      </w:pPr>
      <w:r>
        <w:rPr>
          <w:rFonts w:cs="Arial"/>
        </w:rPr>
        <w:t>Shrnutí</w:t>
      </w:r>
      <w:r w:rsidRPr="00B726E6">
        <w:t xml:space="preserve"> </w:t>
      </w:r>
      <w:r>
        <w:t>hlavních charakteristik:</w:t>
      </w:r>
    </w:p>
    <w:p w:rsidR="007E6DCD" w:rsidRDefault="007E6DCD" w:rsidP="001C4914">
      <w:pPr>
        <w:pStyle w:val="Odstavecseseznamem"/>
        <w:numPr>
          <w:ilvl w:val="0"/>
          <w:numId w:val="134"/>
        </w:numPr>
        <w:spacing w:before="120"/>
        <w:ind w:left="714" w:hanging="357"/>
        <w:jc w:val="both"/>
      </w:pPr>
      <w:r>
        <w:t>Kdo nese investiční náklady: investoři</w:t>
      </w:r>
    </w:p>
    <w:p w:rsidR="007E6DCD" w:rsidRPr="00B726E6" w:rsidRDefault="007E6DCD" w:rsidP="00F55595">
      <w:pPr>
        <w:pStyle w:val="Odstavecseseznamem"/>
        <w:numPr>
          <w:ilvl w:val="0"/>
          <w:numId w:val="134"/>
        </w:numPr>
        <w:spacing w:before="240"/>
        <w:jc w:val="both"/>
        <w:rPr>
          <w:rFonts w:cs="Arial"/>
        </w:rPr>
      </w:pPr>
      <w:r>
        <w:t xml:space="preserve">Kdo ručí za cenu elektřiny: všichni spotřebitelé </w:t>
      </w:r>
    </w:p>
    <w:p w:rsidR="007E6DCD" w:rsidRPr="00B726E6" w:rsidRDefault="007E6DCD" w:rsidP="00F55595">
      <w:pPr>
        <w:pStyle w:val="Odstavecseseznamem"/>
        <w:numPr>
          <w:ilvl w:val="0"/>
          <w:numId w:val="134"/>
        </w:numPr>
        <w:spacing w:before="240"/>
        <w:jc w:val="both"/>
        <w:rPr>
          <w:rFonts w:cs="Arial"/>
        </w:rPr>
      </w:pPr>
      <w:r w:rsidRPr="00B726E6">
        <w:t>Jak proběhl/pr</w:t>
      </w:r>
      <w:r>
        <w:t>o</w:t>
      </w:r>
      <w:r w:rsidRPr="00B726E6">
        <w:t xml:space="preserve">běhne výběr dodavatele: </w:t>
      </w:r>
      <w:r>
        <w:t>investor vybírá subdodavatele</w:t>
      </w:r>
    </w:p>
    <w:p w:rsidR="007E6DCD" w:rsidRPr="00417D3A" w:rsidRDefault="007E6DCD" w:rsidP="00F55595">
      <w:pPr>
        <w:rPr>
          <w:rFonts w:cs="Arial"/>
        </w:rPr>
      </w:pPr>
      <w:r>
        <w:rPr>
          <w:rFonts w:cs="Arial"/>
        </w:rPr>
        <w:t>Detail:</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 xml:space="preserve">Návratnost investice zajištěna prostřednictvím </w:t>
      </w:r>
      <w:proofErr w:type="spellStart"/>
      <w:r w:rsidRPr="00BC5536">
        <w:rPr>
          <w:rFonts w:cs="Arial"/>
        </w:rPr>
        <w:t>CfD</w:t>
      </w:r>
      <w:proofErr w:type="spellEnd"/>
      <w:r w:rsidRPr="00BC5536">
        <w:rPr>
          <w:rFonts w:cs="Arial"/>
        </w:rPr>
        <w:t xml:space="preserve"> od britské vlády – notifikace </w:t>
      </w:r>
      <w:proofErr w:type="spellStart"/>
      <w:r w:rsidRPr="00BC5536">
        <w:rPr>
          <w:rFonts w:cs="Arial"/>
        </w:rPr>
        <w:t>CfD</w:t>
      </w:r>
      <w:proofErr w:type="spellEnd"/>
      <w:r w:rsidRPr="00BC5536">
        <w:rPr>
          <w:rFonts w:cs="Arial"/>
        </w:rPr>
        <w:t xml:space="preserve"> u Evropské komise jako povolené veřejné </w:t>
      </w:r>
      <w:proofErr w:type="gramStart"/>
      <w:r w:rsidRPr="00BC5536">
        <w:rPr>
          <w:rFonts w:cs="Arial"/>
        </w:rPr>
        <w:t>podpory</w:t>
      </w:r>
      <w:proofErr w:type="gramEnd"/>
      <w:r w:rsidRPr="00BC5536">
        <w:rPr>
          <w:rFonts w:cs="Arial"/>
        </w:rPr>
        <w:t xml:space="preserve"> –</w:t>
      </w:r>
      <w:proofErr w:type="gramStart"/>
      <w:r w:rsidRPr="00BC5536">
        <w:rPr>
          <w:rFonts w:cs="Arial"/>
        </w:rPr>
        <w:t>schválení</w:t>
      </w:r>
      <w:proofErr w:type="gramEnd"/>
      <w:r w:rsidRPr="00BC5536">
        <w:rPr>
          <w:rFonts w:cs="Arial"/>
        </w:rPr>
        <w:t xml:space="preserve"> ze strany EK 10/2014</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Investoři by měli získat návratnost 10</w:t>
      </w:r>
      <w:r>
        <w:rPr>
          <w:rFonts w:cs="Arial"/>
        </w:rPr>
        <w:t xml:space="preserve"> </w:t>
      </w:r>
      <w:r w:rsidRPr="00BC5536">
        <w:rPr>
          <w:rFonts w:cs="Arial"/>
        </w:rPr>
        <w:t>%</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 xml:space="preserve">Strike </w:t>
      </w:r>
      <w:proofErr w:type="spellStart"/>
      <w:r w:rsidRPr="00BC5536">
        <w:rPr>
          <w:rFonts w:cs="Arial"/>
        </w:rPr>
        <w:t>price</w:t>
      </w:r>
      <w:proofErr w:type="spellEnd"/>
      <w:r w:rsidRPr="00BC5536">
        <w:rPr>
          <w:rFonts w:cs="Arial"/>
        </w:rPr>
        <w:t xml:space="preserve"> 92,5 GBP/</w:t>
      </w:r>
      <w:proofErr w:type="spellStart"/>
      <w:r w:rsidRPr="00BC5536">
        <w:rPr>
          <w:rFonts w:cs="Arial"/>
        </w:rPr>
        <w:t>MWh</w:t>
      </w:r>
      <w:proofErr w:type="spellEnd"/>
      <w:r w:rsidRPr="00BC5536">
        <w:rPr>
          <w:rFonts w:cs="Arial"/>
        </w:rPr>
        <w:t xml:space="preserve"> = cca 115 EUR/</w:t>
      </w:r>
      <w:proofErr w:type="spellStart"/>
      <w:r w:rsidRPr="00BC5536">
        <w:rPr>
          <w:rFonts w:cs="Arial"/>
        </w:rPr>
        <w:t>MWh</w:t>
      </w:r>
      <w:proofErr w:type="spellEnd"/>
      <w:r w:rsidRPr="00BC5536">
        <w:rPr>
          <w:rFonts w:cs="Arial"/>
        </w:rPr>
        <w:t xml:space="preserve"> (indexována </w:t>
      </w:r>
      <w:r>
        <w:rPr>
          <w:rFonts w:cs="Arial"/>
        </w:rPr>
        <w:t>indexem spotřebitelských cen -</w:t>
      </w:r>
      <w:r w:rsidRPr="00BC5536">
        <w:rPr>
          <w:rFonts w:cs="Arial"/>
        </w:rPr>
        <w:t>CPI)</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Projekt by měl získat investiční záruky britské vlády až do výše 70</w:t>
      </w:r>
      <w:r>
        <w:rPr>
          <w:rFonts w:cs="Arial"/>
        </w:rPr>
        <w:t xml:space="preserve"> </w:t>
      </w:r>
      <w:r w:rsidRPr="00BC5536">
        <w:rPr>
          <w:rFonts w:cs="Arial"/>
        </w:rPr>
        <w:t>% investice.  Do této výše pak budou výstavbu financovat komerční banky</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ZVZ: Evropskou komisí udělena výjimka ze ZVZ pro oblast výroby elektrické energie (v roce 2006)</w:t>
      </w:r>
    </w:p>
    <w:p w:rsidR="007E6DCD" w:rsidRPr="00BC5536" w:rsidRDefault="007E6DCD" w:rsidP="00F55595">
      <w:pPr>
        <w:pStyle w:val="Odstavecseseznamem"/>
        <w:numPr>
          <w:ilvl w:val="0"/>
          <w:numId w:val="135"/>
        </w:numPr>
        <w:spacing w:before="120" w:after="120"/>
        <w:jc w:val="both"/>
        <w:rPr>
          <w:rFonts w:cs="Arial"/>
        </w:rPr>
      </w:pPr>
      <w:r w:rsidRPr="00BC5536">
        <w:rPr>
          <w:rFonts w:cs="Arial"/>
        </w:rPr>
        <w:t xml:space="preserve">Závazek, že cca 60 % investice dodají </w:t>
      </w:r>
      <w:proofErr w:type="spellStart"/>
      <w:r w:rsidRPr="00A94D9A">
        <w:rPr>
          <w:rFonts w:cs="Arial"/>
          <w:lang w:val="en-GB"/>
        </w:rPr>
        <w:t>anglické</w:t>
      </w:r>
      <w:proofErr w:type="spellEnd"/>
      <w:r w:rsidRPr="00A94D9A">
        <w:rPr>
          <w:rFonts w:cs="Arial"/>
          <w:lang w:val="en-GB"/>
        </w:rPr>
        <w:t xml:space="preserve"> </w:t>
      </w:r>
      <w:r w:rsidRPr="00BC5536">
        <w:rPr>
          <w:rFonts w:cs="Arial"/>
        </w:rPr>
        <w:t>společnosti</w:t>
      </w:r>
    </w:p>
    <w:p w:rsidR="007E6DCD" w:rsidRPr="00A94D9A" w:rsidRDefault="007E6DCD" w:rsidP="00F55595">
      <w:pPr>
        <w:contextualSpacing/>
        <w:jc w:val="both"/>
        <w:rPr>
          <w:rFonts w:cstheme="minorHAnsi"/>
        </w:rPr>
      </w:pPr>
      <w:r w:rsidRPr="00A94D9A">
        <w:rPr>
          <w:rFonts w:cstheme="minorHAnsi"/>
        </w:rPr>
        <w:lastRenderedPageBreak/>
        <w:t xml:space="preserve">Neformální diskuse mezi UK a EK začaly již v roce 2012, formální notifikace proběhla v říjnu 2013. Šetření ze strany EK bylo zahájeno v prosinci 2013, UK reagovala v lednu 2014. Veřejnou konzultaci zorganizovala EK v březnu 2014, na kterou v červnu UK zareagovala. DK COMP vyjádřilo 24. 9. 2014 návrh souhlasného stanoviska k využití </w:t>
      </w:r>
      <w:proofErr w:type="spellStart"/>
      <w:r w:rsidRPr="00A94D9A">
        <w:rPr>
          <w:rFonts w:cstheme="minorHAnsi"/>
        </w:rPr>
        <w:t>CfD</w:t>
      </w:r>
      <w:proofErr w:type="spellEnd"/>
      <w:r w:rsidRPr="00A94D9A">
        <w:rPr>
          <w:rFonts w:cstheme="minorHAnsi"/>
        </w:rPr>
        <w:t xml:space="preserve"> a jeho souladu s vnitřním trhem s tím, že </w:t>
      </w:r>
      <w:r w:rsidRPr="00A94D9A">
        <w:rPr>
          <w:rFonts w:cstheme="minorHAnsi"/>
          <w:b/>
        </w:rPr>
        <w:t>finálně slučitelnost celého mechanismu financování potvrdilo kolegium komisařů dne 8. 10. 2014</w:t>
      </w:r>
      <w:r w:rsidRPr="00A94D9A">
        <w:rPr>
          <w:rFonts w:cstheme="minorHAnsi"/>
        </w:rPr>
        <w:t xml:space="preserve">. Mezi hlavní problematické body, u nichž došlo po ústupcích ze strany UK k dohodě, jsou: </w:t>
      </w:r>
    </w:p>
    <w:p w:rsidR="007E6DCD" w:rsidRPr="007F696A" w:rsidRDefault="007E6DCD" w:rsidP="00DB64F6">
      <w:pPr>
        <w:pStyle w:val="Odstavecseseznamem"/>
        <w:numPr>
          <w:ilvl w:val="0"/>
          <w:numId w:val="136"/>
        </w:numPr>
        <w:spacing w:before="240"/>
        <w:ind w:left="777" w:hanging="357"/>
        <w:jc w:val="both"/>
        <w:rPr>
          <w:rFonts w:cs="Arial"/>
        </w:rPr>
      </w:pPr>
      <w:proofErr w:type="spellStart"/>
      <w:r w:rsidRPr="00347F3F">
        <w:rPr>
          <w:rFonts w:cs="Arial"/>
          <w:i/>
          <w:iCs/>
        </w:rPr>
        <w:t>Contract</w:t>
      </w:r>
      <w:proofErr w:type="spellEnd"/>
      <w:r w:rsidRPr="00347F3F">
        <w:rPr>
          <w:rFonts w:cs="Arial"/>
          <w:i/>
          <w:iCs/>
        </w:rPr>
        <w:t xml:space="preserve"> </w:t>
      </w:r>
      <w:proofErr w:type="spellStart"/>
      <w:r w:rsidRPr="00347F3F">
        <w:rPr>
          <w:rFonts w:cs="Arial"/>
          <w:i/>
          <w:iCs/>
        </w:rPr>
        <w:t>for</w:t>
      </w:r>
      <w:proofErr w:type="spellEnd"/>
      <w:r w:rsidRPr="00347F3F">
        <w:rPr>
          <w:rFonts w:cs="Arial"/>
          <w:i/>
          <w:iCs/>
        </w:rPr>
        <w:t xml:space="preserve"> </w:t>
      </w:r>
      <w:proofErr w:type="spellStart"/>
      <w:r w:rsidRPr="00347F3F">
        <w:rPr>
          <w:rFonts w:cs="Arial"/>
          <w:i/>
          <w:iCs/>
        </w:rPr>
        <w:t>difference</w:t>
      </w:r>
      <w:proofErr w:type="spellEnd"/>
      <w:r w:rsidRPr="00347F3F">
        <w:rPr>
          <w:rFonts w:cs="Arial"/>
        </w:rPr>
        <w:t xml:space="preserve"> (</w:t>
      </w:r>
      <w:proofErr w:type="spellStart"/>
      <w:r w:rsidRPr="00347F3F">
        <w:rPr>
          <w:rFonts w:cs="Arial"/>
        </w:rPr>
        <w:t>CfD</w:t>
      </w:r>
      <w:proofErr w:type="spellEnd"/>
      <w:r w:rsidRPr="00347F3F">
        <w:rPr>
          <w:rFonts w:cs="Arial"/>
        </w:rPr>
        <w:t xml:space="preserve">) v kombinaci s úvěrovou zárukou nepovedou k </w:t>
      </w:r>
      <w:proofErr w:type="spellStart"/>
      <w:r w:rsidRPr="00347F3F">
        <w:rPr>
          <w:rFonts w:cs="Arial"/>
        </w:rPr>
        <w:t>překompenzaci</w:t>
      </w:r>
      <w:proofErr w:type="spellEnd"/>
      <w:r w:rsidRPr="00347F3F">
        <w:rPr>
          <w:rFonts w:cs="Arial"/>
        </w:rPr>
        <w:t xml:space="preserve">. </w:t>
      </w:r>
      <w:proofErr w:type="spellStart"/>
      <w:r w:rsidRPr="00347F3F">
        <w:rPr>
          <w:rFonts w:cs="Arial"/>
        </w:rPr>
        <w:t>CfD</w:t>
      </w:r>
      <w:proofErr w:type="spellEnd"/>
      <w:r w:rsidRPr="00347F3F">
        <w:rPr>
          <w:rFonts w:cs="Arial"/>
          <w:i/>
          <w:iCs/>
        </w:rPr>
        <w:t xml:space="preserve"> </w:t>
      </w:r>
      <w:r w:rsidRPr="00347F3F">
        <w:rPr>
          <w:rFonts w:cs="Arial"/>
        </w:rPr>
        <w:t xml:space="preserve">má zajistit uhrazení rozdílu mezi </w:t>
      </w:r>
      <w:r w:rsidRPr="00347F3F">
        <w:rPr>
          <w:rFonts w:cs="Arial"/>
          <w:i/>
          <w:iCs/>
        </w:rPr>
        <w:t xml:space="preserve">strike </w:t>
      </w:r>
      <w:proofErr w:type="spellStart"/>
      <w:r w:rsidRPr="00347F3F">
        <w:rPr>
          <w:rFonts w:cs="Arial"/>
          <w:i/>
          <w:iCs/>
        </w:rPr>
        <w:t>price</w:t>
      </w:r>
      <w:proofErr w:type="spellEnd"/>
      <w:r w:rsidRPr="00347F3F">
        <w:rPr>
          <w:rFonts w:cs="Arial"/>
          <w:i/>
          <w:iCs/>
        </w:rPr>
        <w:t xml:space="preserve"> </w:t>
      </w:r>
      <w:r w:rsidRPr="00347F3F">
        <w:rPr>
          <w:rFonts w:cs="Arial"/>
        </w:rPr>
        <w:t xml:space="preserve">a tržní cenou. </w:t>
      </w:r>
      <w:r w:rsidRPr="00347F3F">
        <w:rPr>
          <w:rFonts w:cs="Arial"/>
          <w:i/>
          <w:iCs/>
        </w:rPr>
        <w:t xml:space="preserve">Strike </w:t>
      </w:r>
      <w:proofErr w:type="spellStart"/>
      <w:r w:rsidRPr="00347F3F">
        <w:rPr>
          <w:rFonts w:cs="Arial"/>
          <w:i/>
          <w:iCs/>
        </w:rPr>
        <w:t>price</w:t>
      </w:r>
      <w:proofErr w:type="spellEnd"/>
      <w:r w:rsidRPr="00347F3F">
        <w:rPr>
          <w:rFonts w:cs="Arial"/>
        </w:rPr>
        <w:t xml:space="preserve"> bylo dosaženo tvrdým vyjednáváním mezi UK a EDF, za použití podrobných analýz, které měly zajistit, že náklady i posouzení míry návratnosti byly stanoveny spravedlivě. Bylo obtížné najít příslušný </w:t>
      </w:r>
      <w:proofErr w:type="spellStart"/>
      <w:r w:rsidRPr="00347F3F">
        <w:rPr>
          <w:rFonts w:cs="Arial"/>
          <w:i/>
          <w:iCs/>
        </w:rPr>
        <w:t>benchmark</w:t>
      </w:r>
      <w:proofErr w:type="spellEnd"/>
      <w:r w:rsidRPr="00347F3F">
        <w:rPr>
          <w:rFonts w:cs="Arial"/>
        </w:rPr>
        <w:t xml:space="preserve"> pro srovnání. UK ze </w:t>
      </w:r>
      <w:r w:rsidRPr="00347F3F">
        <w:rPr>
          <w:rFonts w:cs="Arial"/>
          <w:i/>
          <w:iCs/>
        </w:rPr>
        <w:t xml:space="preserve">strike </w:t>
      </w:r>
      <w:proofErr w:type="spellStart"/>
      <w:r w:rsidRPr="00347F3F">
        <w:rPr>
          <w:rFonts w:cs="Arial"/>
          <w:i/>
          <w:iCs/>
        </w:rPr>
        <w:t>price</w:t>
      </w:r>
      <w:proofErr w:type="spellEnd"/>
      <w:r w:rsidRPr="00347F3F">
        <w:rPr>
          <w:rFonts w:cs="Arial"/>
        </w:rPr>
        <w:t xml:space="preserve"> nemohlo ustoupit a také neustoupilo. Výše strike </w:t>
      </w:r>
      <w:proofErr w:type="spellStart"/>
      <w:r w:rsidRPr="00347F3F">
        <w:rPr>
          <w:rFonts w:cs="Arial"/>
        </w:rPr>
        <w:t>price</w:t>
      </w:r>
      <w:proofErr w:type="spellEnd"/>
      <w:r w:rsidRPr="00347F3F">
        <w:rPr>
          <w:rFonts w:cs="Arial"/>
        </w:rPr>
        <w:t xml:space="preserve"> bude 89,5 GBP za megawatthodinu, případně 92,50 GBP, pokud nebude postaven reaktor </w:t>
      </w:r>
      <w:proofErr w:type="spellStart"/>
      <w:r w:rsidRPr="00347F3F">
        <w:rPr>
          <w:rFonts w:cs="Arial"/>
        </w:rPr>
        <w:t>Sizewell</w:t>
      </w:r>
      <w:proofErr w:type="spellEnd"/>
      <w:r w:rsidRPr="00347F3F">
        <w:rPr>
          <w:rFonts w:cs="Arial"/>
        </w:rPr>
        <w:t xml:space="preserve"> (UK vůči EK argumentovalo také cenou </w:t>
      </w:r>
      <w:proofErr w:type="spellStart"/>
      <w:r w:rsidRPr="00347F3F">
        <w:rPr>
          <w:rFonts w:cs="Arial"/>
        </w:rPr>
        <w:t>onshore</w:t>
      </w:r>
      <w:proofErr w:type="spellEnd"/>
      <w:r w:rsidRPr="00347F3F">
        <w:rPr>
          <w:rFonts w:cs="Arial"/>
        </w:rPr>
        <w:t xml:space="preserve"> a </w:t>
      </w:r>
      <w:proofErr w:type="spellStart"/>
      <w:r w:rsidRPr="00347F3F">
        <w:rPr>
          <w:rFonts w:cs="Arial"/>
        </w:rPr>
        <w:t>offshore</w:t>
      </w:r>
      <w:proofErr w:type="spellEnd"/>
      <w:r w:rsidRPr="00347F3F">
        <w:rPr>
          <w:rFonts w:cs="Arial"/>
        </w:rPr>
        <w:t xml:space="preserve"> větrné energie, která činí 95, resp. 150 GBP).  Pokud bude tržní cena pod </w:t>
      </w:r>
      <w:r w:rsidRPr="00347F3F">
        <w:rPr>
          <w:rFonts w:cs="Arial"/>
          <w:i/>
          <w:iCs/>
        </w:rPr>
        <w:t xml:space="preserve">strike </w:t>
      </w:r>
      <w:proofErr w:type="spellStart"/>
      <w:r w:rsidRPr="00347F3F">
        <w:rPr>
          <w:rFonts w:cs="Arial"/>
          <w:i/>
          <w:iCs/>
        </w:rPr>
        <w:t>price</w:t>
      </w:r>
      <w:proofErr w:type="spellEnd"/>
      <w:r w:rsidRPr="00347F3F">
        <w:rPr>
          <w:rFonts w:cs="Arial"/>
        </w:rPr>
        <w:t xml:space="preserve">, rozdíl platí spotřebitelé, ovšem pokud by se tržní cena přehoupla přes </w:t>
      </w:r>
      <w:r w:rsidRPr="00347F3F">
        <w:rPr>
          <w:rFonts w:cs="Arial"/>
          <w:i/>
          <w:iCs/>
        </w:rPr>
        <w:t xml:space="preserve">strike </w:t>
      </w:r>
      <w:proofErr w:type="spellStart"/>
      <w:r w:rsidRPr="00347F3F">
        <w:rPr>
          <w:rFonts w:cs="Arial"/>
          <w:i/>
          <w:iCs/>
        </w:rPr>
        <w:t>price</w:t>
      </w:r>
      <w:proofErr w:type="spellEnd"/>
      <w:r w:rsidRPr="00347F3F">
        <w:rPr>
          <w:rFonts w:cs="Arial"/>
        </w:rPr>
        <w:t xml:space="preserve">, developeři musí zákazníkům rozdíl uhradit. </w:t>
      </w:r>
    </w:p>
    <w:p w:rsidR="007E6DCD" w:rsidRPr="007F696A" w:rsidRDefault="007E6DCD" w:rsidP="00DB64F6">
      <w:pPr>
        <w:pStyle w:val="Odstavecseseznamem"/>
        <w:numPr>
          <w:ilvl w:val="0"/>
          <w:numId w:val="136"/>
        </w:numPr>
        <w:spacing w:before="240"/>
        <w:ind w:left="777" w:hanging="357"/>
        <w:jc w:val="both"/>
        <w:rPr>
          <w:rFonts w:cs="Arial"/>
        </w:rPr>
      </w:pPr>
      <w:r w:rsidRPr="00347F3F">
        <w:rPr>
          <w:rFonts w:cs="Arial"/>
        </w:rPr>
        <w:t xml:space="preserve">Úvěrová garance byla nezbytným prvkem zajištění financování projektu. NNBG (dceřiná společnost EDF) za ni uhradí tržní cenu. Záruka je nástrojem, který by trh neposkytl, jednalo se o hlavní obavu DG COMP.  Na poslední chvíli proto došlo ke zvýšení ceny za záruku, přičemž tato cena již podle DG COMP bude v tržní výši. </w:t>
      </w:r>
    </w:p>
    <w:p w:rsidR="007E6DCD" w:rsidRPr="007F696A" w:rsidRDefault="007E6DCD" w:rsidP="00DB64F6">
      <w:pPr>
        <w:pStyle w:val="Odstavecseseznamem"/>
        <w:numPr>
          <w:ilvl w:val="0"/>
          <w:numId w:val="136"/>
        </w:numPr>
        <w:spacing w:before="240"/>
        <w:ind w:left="777" w:hanging="357"/>
        <w:jc w:val="both"/>
        <w:rPr>
          <w:rFonts w:cs="Arial"/>
        </w:rPr>
      </w:pPr>
      <w:r w:rsidRPr="00347F3F">
        <w:rPr>
          <w:rFonts w:cs="Arial"/>
        </w:rPr>
        <w:t xml:space="preserve">HPC má fungovat 60 let, </w:t>
      </w:r>
      <w:proofErr w:type="spellStart"/>
      <w:r w:rsidRPr="00347F3F">
        <w:rPr>
          <w:rFonts w:cs="Arial"/>
        </w:rPr>
        <w:t>CfD</w:t>
      </w:r>
      <w:proofErr w:type="spellEnd"/>
      <w:r w:rsidRPr="00347F3F">
        <w:rPr>
          <w:rFonts w:cs="Arial"/>
        </w:rPr>
        <w:t xml:space="preserve"> má platit 35 let. Dalším klíčovým ústupkem bylo dosažení dohody o </w:t>
      </w:r>
      <w:proofErr w:type="spellStart"/>
      <w:r w:rsidRPr="00347F3F">
        <w:rPr>
          <w:rFonts w:cs="Arial"/>
          <w:i/>
          <w:iCs/>
        </w:rPr>
        <w:t>claw-back</w:t>
      </w:r>
      <w:proofErr w:type="spellEnd"/>
      <w:r w:rsidRPr="00347F3F">
        <w:rPr>
          <w:rFonts w:cs="Arial"/>
        </w:rPr>
        <w:t xml:space="preserve"> mechanismu na zbývajících 25 let. </w:t>
      </w:r>
    </w:p>
    <w:p w:rsidR="007E6DCD" w:rsidRPr="007F696A" w:rsidRDefault="007E6DCD" w:rsidP="00DB64F6">
      <w:pPr>
        <w:pStyle w:val="Odstavecseseznamem"/>
        <w:numPr>
          <w:ilvl w:val="0"/>
          <w:numId w:val="136"/>
        </w:numPr>
        <w:spacing w:before="240"/>
        <w:ind w:left="777" w:hanging="357"/>
        <w:jc w:val="both"/>
        <w:rPr>
          <w:rFonts w:cs="Arial"/>
        </w:rPr>
      </w:pPr>
      <w:r w:rsidRPr="00347F3F">
        <w:rPr>
          <w:rFonts w:cs="Arial"/>
        </w:rPr>
        <w:t xml:space="preserve">Důležité též je, že případné zvýšené náklady na výstavbu ponesou investoři na vlastní riziko. </w:t>
      </w:r>
    </w:p>
    <w:p w:rsidR="007E6DCD" w:rsidRPr="007F696A" w:rsidRDefault="007E6DCD" w:rsidP="00DB64F6">
      <w:pPr>
        <w:pStyle w:val="Odstavecseseznamem"/>
        <w:numPr>
          <w:ilvl w:val="0"/>
          <w:numId w:val="136"/>
        </w:numPr>
        <w:spacing w:before="240"/>
        <w:ind w:left="777" w:hanging="357"/>
        <w:jc w:val="both"/>
        <w:rPr>
          <w:rFonts w:cs="Arial"/>
        </w:rPr>
      </w:pPr>
      <w:r w:rsidRPr="00347F3F">
        <w:rPr>
          <w:rFonts w:cs="Arial"/>
        </w:rPr>
        <w:t xml:space="preserve">UK též prokázalo, že podniká řadu opatření proti narušení trhu, podporuje vnitřní trh s energií a činí konkrétní opatření k propojování trhů. </w:t>
      </w:r>
    </w:p>
    <w:p w:rsidR="007E6DCD" w:rsidRPr="007F696A" w:rsidRDefault="007E6DCD" w:rsidP="00DB64F6">
      <w:pPr>
        <w:pStyle w:val="Odstavecseseznamem"/>
        <w:numPr>
          <w:ilvl w:val="0"/>
          <w:numId w:val="136"/>
        </w:numPr>
        <w:spacing w:before="240"/>
        <w:ind w:left="777" w:hanging="357"/>
        <w:jc w:val="both"/>
        <w:rPr>
          <w:rFonts w:cs="Arial"/>
        </w:rPr>
      </w:pPr>
      <w:r w:rsidRPr="00347F3F">
        <w:rPr>
          <w:rFonts w:cs="Arial"/>
        </w:rPr>
        <w:t xml:space="preserve">Narušení hospodářské soutěže má též zabránit každoroční reportování EDF UK a Komisi o obchodech mezi EDF a subdodavateli, které musí probíhat za tržní cenu. </w:t>
      </w:r>
    </w:p>
    <w:p w:rsidR="007E6DCD" w:rsidRPr="007F696A" w:rsidRDefault="007E6DCD" w:rsidP="001C4914">
      <w:pPr>
        <w:pStyle w:val="Odstavecseseznamem"/>
        <w:numPr>
          <w:ilvl w:val="0"/>
          <w:numId w:val="136"/>
        </w:numPr>
        <w:spacing w:before="240" w:after="240"/>
        <w:ind w:left="777" w:hanging="357"/>
        <w:jc w:val="both"/>
        <w:rPr>
          <w:rFonts w:cs="Arial"/>
        </w:rPr>
      </w:pPr>
      <w:r w:rsidRPr="00347F3F">
        <w:rPr>
          <w:rFonts w:cs="Arial"/>
        </w:rPr>
        <w:t>Společný zájem, na základě něhož mohla být podpora prohlášena za slučitelnou, spatřuje UK v diverzifikaci zdrojů energie, posílení bezpečnosti dodávek a přispění k nízkouhlíkové ekonomice, resp. povinným klimatickým cílům.</w:t>
      </w:r>
    </w:p>
    <w:p w:rsidR="007E6DCD" w:rsidRPr="003301CD" w:rsidRDefault="007E6DCD" w:rsidP="001C4914">
      <w:pPr>
        <w:spacing w:after="120"/>
        <w:rPr>
          <w:rFonts w:cs="Arial"/>
          <w:b/>
        </w:rPr>
      </w:pPr>
      <w:r w:rsidRPr="003301CD">
        <w:rPr>
          <w:rFonts w:cs="Arial"/>
          <w:b/>
        </w:rPr>
        <w:t>SWOT analýza pro použití stejného modelu v ČR: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S – silné stránky</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W – slabé stránky</w:t>
            </w:r>
          </w:p>
        </w:tc>
      </w:tr>
      <w:tr w:rsidR="007E6DCD" w:rsidRPr="0093170C" w:rsidTr="001C4914">
        <w:tc>
          <w:tcPr>
            <w:tcW w:w="2500" w:type="pct"/>
            <w:tcBorders>
              <w:top w:val="single" w:sz="12" w:space="0" w:color="auto"/>
              <w:left w:val="single" w:sz="12" w:space="0" w:color="auto"/>
              <w:bottom w:val="thinThickSmallGap" w:sz="24"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Nulový dopad do státního rozpočtu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Vysoké záruky vlády = možnost získat vysoké komerční úvěry = vyšší možnosti zapojení domácího průmyslu (než u exportní banky)</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Podpora na tržním principu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 xml:space="preserve">Velká kontrola státu nad strukturou energetiky a nad energetickou bezpečností </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Již souhlasné stanovisko DG COMP i kolegia Komisařů jako jednoznačný precedens.</w:t>
            </w:r>
          </w:p>
        </w:tc>
        <w:tc>
          <w:tcPr>
            <w:tcW w:w="2500" w:type="pct"/>
            <w:tcBorders>
              <w:top w:val="single" w:sz="12" w:space="0" w:color="auto"/>
              <w:bottom w:val="thinThickSmallGap" w:sz="24"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V případě nízkých cen elektřiny platí rozdíl spotřebitelé, ale až po uvedení do provozu tedy po roce 2030</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Výkup elektřiny není garantován</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Vyšší návratnost požadovaná investory</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Nutný postup dle ZVZ nebo získání výjimky, příp. mezinárodní smlouva s nečlenem EU</w:t>
            </w:r>
          </w:p>
          <w:p w:rsidR="007E6DCD" w:rsidRPr="0093170C" w:rsidRDefault="007E6DCD" w:rsidP="00F55595">
            <w:pPr>
              <w:contextualSpacing/>
              <w:rPr>
                <w:rFonts w:cs="Arial"/>
              </w:rPr>
            </w:pPr>
          </w:p>
        </w:tc>
      </w:tr>
    </w:tbl>
    <w:p w:rsidR="001C4914" w:rsidRDefault="001C4914" w:rsidP="00F55595">
      <w:pPr>
        <w:spacing w:before="200"/>
        <w:jc w:val="both"/>
        <w:rPr>
          <w:rFonts w:cs="Arial"/>
          <w:b/>
          <w:sz w:val="24"/>
          <w:szCs w:val="24"/>
        </w:rPr>
      </w:pPr>
      <w:bookmarkStart w:id="326" w:name="_Toc3988916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C4914"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1C4914" w:rsidRPr="0093170C" w:rsidRDefault="001C4914" w:rsidP="001C4914">
            <w:pPr>
              <w:spacing w:before="120" w:after="120"/>
              <w:jc w:val="center"/>
              <w:rPr>
                <w:rFonts w:cs="Arial"/>
                <w:b/>
              </w:rPr>
            </w:pPr>
            <w:r w:rsidRPr="0093170C">
              <w:rPr>
                <w:rFonts w:cs="Arial"/>
                <w:b/>
              </w:rPr>
              <w:t>O – příležitosti</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1C4914" w:rsidRPr="0093170C" w:rsidRDefault="001C4914" w:rsidP="001C4914">
            <w:pPr>
              <w:spacing w:before="120" w:after="120"/>
              <w:jc w:val="center"/>
              <w:rPr>
                <w:rFonts w:cs="Arial"/>
                <w:b/>
              </w:rPr>
            </w:pPr>
            <w:r w:rsidRPr="0093170C">
              <w:rPr>
                <w:rFonts w:cs="Arial"/>
                <w:b/>
              </w:rPr>
              <w:t>T - hrozby</w:t>
            </w:r>
          </w:p>
        </w:tc>
      </w:tr>
      <w:tr w:rsidR="001C4914" w:rsidRPr="0087559F" w:rsidTr="001C4914">
        <w:trPr>
          <w:trHeight w:val="1537"/>
        </w:trPr>
        <w:tc>
          <w:tcPr>
            <w:tcW w:w="2500" w:type="pct"/>
            <w:tcBorders>
              <w:top w:val="single" w:sz="12" w:space="0" w:color="auto"/>
              <w:left w:val="single" w:sz="12" w:space="0" w:color="auto"/>
              <w:bottom w:val="thinThickSmallGap" w:sz="24" w:space="0" w:color="auto"/>
            </w:tcBorders>
            <w:shd w:val="clear" w:color="auto" w:fill="auto"/>
          </w:tcPr>
          <w:p w:rsidR="001C4914" w:rsidRPr="0087559F" w:rsidRDefault="001C4914" w:rsidP="007C1F8E">
            <w:pPr>
              <w:pStyle w:val="Odstavecseseznamem"/>
              <w:numPr>
                <w:ilvl w:val="0"/>
                <w:numId w:val="119"/>
              </w:numPr>
              <w:spacing w:after="0"/>
              <w:ind w:left="414" w:hanging="357"/>
              <w:rPr>
                <w:rFonts w:cs="Arial"/>
              </w:rPr>
            </w:pPr>
            <w:r w:rsidRPr="0087559F">
              <w:rPr>
                <w:rFonts w:cs="Arial"/>
              </w:rPr>
              <w:t>V případě vyšších cen na trhu snižuje cenu EE pro spotřebitele</w:t>
            </w:r>
          </w:p>
          <w:p w:rsidR="001C4914" w:rsidRPr="0093170C" w:rsidRDefault="001C4914" w:rsidP="007C1F8E">
            <w:pPr>
              <w:contextualSpacing/>
              <w:rPr>
                <w:rFonts w:cs="Arial"/>
              </w:rPr>
            </w:pPr>
          </w:p>
        </w:tc>
        <w:tc>
          <w:tcPr>
            <w:tcW w:w="2500" w:type="pct"/>
            <w:tcBorders>
              <w:top w:val="single" w:sz="12" w:space="0" w:color="auto"/>
              <w:bottom w:val="thinThickSmallGap" w:sz="24" w:space="0" w:color="auto"/>
              <w:right w:val="single" w:sz="12" w:space="0" w:color="auto"/>
            </w:tcBorders>
            <w:shd w:val="clear" w:color="auto" w:fill="auto"/>
          </w:tcPr>
          <w:p w:rsidR="001C4914" w:rsidRPr="0087559F" w:rsidRDefault="001C4914" w:rsidP="007C1F8E">
            <w:pPr>
              <w:pStyle w:val="Odstavecseseznamem"/>
              <w:numPr>
                <w:ilvl w:val="0"/>
                <w:numId w:val="119"/>
              </w:numPr>
              <w:spacing w:after="0"/>
              <w:ind w:left="414" w:hanging="357"/>
              <w:rPr>
                <w:rFonts w:cs="Arial"/>
              </w:rPr>
            </w:pPr>
            <w:r w:rsidRPr="0087559F">
              <w:rPr>
                <w:rFonts w:cs="Arial"/>
              </w:rPr>
              <w:t>Neschválení notifikace</w:t>
            </w:r>
          </w:p>
          <w:p w:rsidR="001C4914" w:rsidRPr="0087559F" w:rsidRDefault="001C4914" w:rsidP="007C1F8E">
            <w:pPr>
              <w:pStyle w:val="Odstavecseseznamem"/>
              <w:numPr>
                <w:ilvl w:val="0"/>
                <w:numId w:val="119"/>
              </w:numPr>
              <w:spacing w:after="0"/>
              <w:ind w:left="414" w:hanging="357"/>
              <w:rPr>
                <w:rFonts w:cs="Arial"/>
              </w:rPr>
            </w:pPr>
            <w:r w:rsidRPr="0087559F">
              <w:rPr>
                <w:rFonts w:cs="Arial"/>
              </w:rPr>
              <w:t xml:space="preserve">Strike </w:t>
            </w:r>
            <w:proofErr w:type="spellStart"/>
            <w:r w:rsidRPr="0087559F">
              <w:rPr>
                <w:rFonts w:cs="Arial"/>
              </w:rPr>
              <w:t>Price</w:t>
            </w:r>
            <w:proofErr w:type="spellEnd"/>
            <w:r w:rsidRPr="0087559F">
              <w:rPr>
                <w:rFonts w:cs="Arial"/>
              </w:rPr>
              <w:t xml:space="preserve"> je dnešní odhad, v případě prodražení projektu jde ztráta na vrub investorovi</w:t>
            </w:r>
          </w:p>
        </w:tc>
      </w:tr>
    </w:tbl>
    <w:p w:rsidR="007E6DCD" w:rsidRPr="00F55595" w:rsidRDefault="007E6DCD" w:rsidP="00F55595">
      <w:pPr>
        <w:spacing w:before="200"/>
        <w:jc w:val="both"/>
        <w:rPr>
          <w:rFonts w:cs="Arial"/>
          <w:b/>
          <w:sz w:val="24"/>
          <w:szCs w:val="24"/>
        </w:rPr>
      </w:pPr>
      <w:r w:rsidRPr="00F55595">
        <w:rPr>
          <w:rFonts w:cs="Arial"/>
          <w:b/>
          <w:sz w:val="24"/>
          <w:szCs w:val="24"/>
        </w:rPr>
        <w:t>Shrnutí SWOT analýzy: nejvhodnější model k využití v ČR.</w:t>
      </w:r>
      <w:r w:rsidR="00F55595">
        <w:rPr>
          <w:rFonts w:cs="Arial"/>
          <w:b/>
          <w:sz w:val="24"/>
          <w:szCs w:val="24"/>
        </w:rPr>
        <w:t xml:space="preserve"> </w:t>
      </w:r>
      <w:r w:rsidRPr="00F55595">
        <w:rPr>
          <w:rFonts w:cs="Arial"/>
          <w:b/>
          <w:sz w:val="24"/>
          <w:szCs w:val="24"/>
        </w:rPr>
        <w:t>V rámci tohoto modelu již nyní existují první signály ze strany některých potenciálních dodavatelů vyjadřující zájem jednat o své spoluúčasti na projektu jako investor i dodavatel. Lze použít v případě politické ochoty obhájit možné budoucí (za 20 let) příplatky k ceně elektřiny.</w:t>
      </w:r>
    </w:p>
    <w:p w:rsidR="007E6DCD" w:rsidRPr="00EC7B99" w:rsidRDefault="007E6DCD" w:rsidP="00EC7B99">
      <w:pPr>
        <w:rPr>
          <w:b/>
        </w:rPr>
      </w:pPr>
      <w:bookmarkStart w:id="327" w:name="_Toc402949114"/>
      <w:r w:rsidRPr="00EC7B99">
        <w:rPr>
          <w:b/>
        </w:rPr>
        <w:t xml:space="preserve">Francie - </w:t>
      </w:r>
      <w:proofErr w:type="spellStart"/>
      <w:r w:rsidRPr="00EC7B99">
        <w:rPr>
          <w:b/>
        </w:rPr>
        <w:t>Flamanville</w:t>
      </w:r>
      <w:proofErr w:type="spellEnd"/>
      <w:r w:rsidRPr="00EC7B99">
        <w:rPr>
          <w:b/>
        </w:rPr>
        <w:t xml:space="preserve"> 3 (EPR1600)</w:t>
      </w:r>
      <w:bookmarkEnd w:id="326"/>
      <w:bookmarkEnd w:id="327"/>
    </w:p>
    <w:p w:rsidR="007E6DCD" w:rsidRDefault="007E6DCD" w:rsidP="00F55595">
      <w:r>
        <w:rPr>
          <w:rFonts w:cs="Arial"/>
        </w:rPr>
        <w:t>Shrnutí</w:t>
      </w:r>
      <w:r w:rsidRPr="00B726E6">
        <w:t xml:space="preserve"> </w:t>
      </w:r>
      <w:r>
        <w:t>hlavních charakteristik:</w:t>
      </w:r>
    </w:p>
    <w:p w:rsidR="007E6DCD" w:rsidRDefault="007E6DCD" w:rsidP="003301CD">
      <w:pPr>
        <w:pStyle w:val="Odstavecseseznamem"/>
        <w:numPr>
          <w:ilvl w:val="0"/>
          <w:numId w:val="137"/>
        </w:numPr>
        <w:spacing w:before="240"/>
        <w:jc w:val="both"/>
      </w:pPr>
      <w:r>
        <w:t>Kdo nese investiční náklady: investor</w:t>
      </w:r>
    </w:p>
    <w:p w:rsidR="007E6DCD" w:rsidRPr="00B726E6" w:rsidRDefault="007E6DCD" w:rsidP="003301CD">
      <w:pPr>
        <w:pStyle w:val="Odstavecseseznamem"/>
        <w:numPr>
          <w:ilvl w:val="0"/>
          <w:numId w:val="137"/>
        </w:numPr>
        <w:spacing w:before="240"/>
        <w:jc w:val="both"/>
        <w:rPr>
          <w:rFonts w:cs="Arial"/>
        </w:rPr>
      </w:pPr>
      <w:r>
        <w:t xml:space="preserve">Kdo ručí za cenu elektřiny: vybraní odběratelé </w:t>
      </w:r>
    </w:p>
    <w:p w:rsidR="007E6DCD" w:rsidRPr="004449FD" w:rsidRDefault="007E6DCD" w:rsidP="003301CD">
      <w:pPr>
        <w:pStyle w:val="Odstavecseseznamem"/>
        <w:numPr>
          <w:ilvl w:val="0"/>
          <w:numId w:val="137"/>
        </w:numPr>
        <w:spacing w:before="240"/>
        <w:jc w:val="both"/>
        <w:rPr>
          <w:rFonts w:cs="Arial"/>
        </w:rPr>
      </w:pPr>
      <w:r w:rsidRPr="00B726E6">
        <w:t>Jak proběhl/pr</w:t>
      </w:r>
      <w:r>
        <w:t>o</w:t>
      </w:r>
      <w:r w:rsidRPr="00B726E6">
        <w:t xml:space="preserve">běhne výběr dodavatele: </w:t>
      </w:r>
      <w:r>
        <w:t xml:space="preserve">investor vybírá subdodavatele technologie </w:t>
      </w:r>
    </w:p>
    <w:p w:rsidR="007E6DCD" w:rsidRPr="004449FD" w:rsidRDefault="007E6DCD" w:rsidP="00F55595">
      <w:pPr>
        <w:ind w:left="360"/>
        <w:rPr>
          <w:rFonts w:cs="Arial"/>
        </w:rPr>
      </w:pPr>
      <w:r w:rsidRPr="004449FD">
        <w:rPr>
          <w:rFonts w:cs="Arial"/>
        </w:rPr>
        <w:t>Detail:</w:t>
      </w:r>
    </w:p>
    <w:p w:rsidR="007E6DCD" w:rsidRPr="00BC5536" w:rsidRDefault="007E6DCD" w:rsidP="003301CD">
      <w:pPr>
        <w:pStyle w:val="Odstavecseseznamem"/>
        <w:numPr>
          <w:ilvl w:val="0"/>
          <w:numId w:val="138"/>
        </w:numPr>
        <w:spacing w:before="120" w:after="120"/>
        <w:jc w:val="both"/>
        <w:rPr>
          <w:rFonts w:cs="Arial"/>
        </w:rPr>
      </w:pPr>
      <w:proofErr w:type="spellStart"/>
      <w:r w:rsidRPr="00BC5536">
        <w:rPr>
          <w:rFonts w:cs="Arial"/>
        </w:rPr>
        <w:t>Exeltium</w:t>
      </w:r>
      <w:proofErr w:type="spellEnd"/>
      <w:r w:rsidRPr="00BC5536">
        <w:rPr>
          <w:rFonts w:cs="Arial"/>
        </w:rPr>
        <w:t xml:space="preserve"> (více než 100 společností) a EDF podepsal</w:t>
      </w:r>
      <w:r>
        <w:rPr>
          <w:rFonts w:cs="Arial"/>
        </w:rPr>
        <w:t>y</w:t>
      </w:r>
      <w:r w:rsidRPr="00BC5536">
        <w:rPr>
          <w:rFonts w:cs="Arial"/>
        </w:rPr>
        <w:t xml:space="preserve"> předplacený dlouhodobý kontrakt na odběr elektřiny tak, aby byla garantována nízká cena pro členy </w:t>
      </w:r>
      <w:proofErr w:type="spellStart"/>
      <w:r w:rsidRPr="00BC5536">
        <w:rPr>
          <w:rFonts w:cs="Arial"/>
        </w:rPr>
        <w:t>Exeltium</w:t>
      </w:r>
      <w:proofErr w:type="spellEnd"/>
      <w:r w:rsidRPr="00BC5536">
        <w:rPr>
          <w:rFonts w:cs="Arial"/>
        </w:rPr>
        <w:t xml:space="preserve"> a zároveň přiměřená návratnost pro EDF</w:t>
      </w:r>
    </w:p>
    <w:p w:rsidR="007E6DCD" w:rsidRPr="00BC5536" w:rsidRDefault="007E6DCD" w:rsidP="003301CD">
      <w:pPr>
        <w:pStyle w:val="Odstavecseseznamem"/>
        <w:numPr>
          <w:ilvl w:val="0"/>
          <w:numId w:val="138"/>
        </w:numPr>
        <w:spacing w:before="120" w:after="120"/>
        <w:jc w:val="both"/>
        <w:rPr>
          <w:rFonts w:cs="Arial"/>
        </w:rPr>
      </w:pPr>
      <w:r w:rsidRPr="00BC5536">
        <w:rPr>
          <w:rFonts w:cs="Arial"/>
        </w:rPr>
        <w:t>Smlouva byla podepsána na:</w:t>
      </w:r>
    </w:p>
    <w:p w:rsidR="007E6DCD" w:rsidRPr="00BC5536" w:rsidRDefault="007E6DCD" w:rsidP="00F55595">
      <w:pPr>
        <w:pStyle w:val="Odstavecseseznamem"/>
        <w:numPr>
          <w:ilvl w:val="1"/>
          <w:numId w:val="116"/>
        </w:numPr>
        <w:spacing w:before="120" w:after="120"/>
        <w:jc w:val="both"/>
        <w:rPr>
          <w:rFonts w:cs="Arial"/>
        </w:rPr>
      </w:pPr>
      <w:r w:rsidRPr="00BC5536">
        <w:rPr>
          <w:rFonts w:cs="Arial"/>
        </w:rPr>
        <w:t xml:space="preserve">~13 </w:t>
      </w:r>
      <w:proofErr w:type="spellStart"/>
      <w:r w:rsidRPr="00BC5536">
        <w:rPr>
          <w:rFonts w:cs="Arial"/>
        </w:rPr>
        <w:t>TWh</w:t>
      </w:r>
      <w:proofErr w:type="spellEnd"/>
      <w:r w:rsidRPr="00BC5536">
        <w:rPr>
          <w:rFonts w:cs="Arial"/>
        </w:rPr>
        <w:t xml:space="preserve"> ročně</w:t>
      </w:r>
    </w:p>
    <w:p w:rsidR="007E6DCD" w:rsidRPr="00BC5536" w:rsidRDefault="007E6DCD" w:rsidP="00F55595">
      <w:pPr>
        <w:pStyle w:val="Odstavecseseznamem"/>
        <w:numPr>
          <w:ilvl w:val="1"/>
          <w:numId w:val="116"/>
        </w:numPr>
        <w:spacing w:before="120" w:after="120"/>
        <w:jc w:val="both"/>
        <w:rPr>
          <w:rFonts w:cs="Arial"/>
        </w:rPr>
      </w:pPr>
      <w:r w:rsidRPr="00BC5536">
        <w:rPr>
          <w:rFonts w:cs="Arial"/>
        </w:rPr>
        <w:t>Období 24 let začínající rokem 2010</w:t>
      </w:r>
    </w:p>
    <w:p w:rsidR="007E6DCD" w:rsidRPr="00BC5536" w:rsidRDefault="007E6DCD" w:rsidP="00F55595">
      <w:pPr>
        <w:pStyle w:val="Odstavecseseznamem"/>
        <w:numPr>
          <w:ilvl w:val="1"/>
          <w:numId w:val="116"/>
        </w:numPr>
        <w:spacing w:before="120" w:after="120"/>
        <w:jc w:val="both"/>
        <w:rPr>
          <w:rFonts w:cs="Arial"/>
        </w:rPr>
      </w:pPr>
      <w:r w:rsidRPr="00BC5536">
        <w:rPr>
          <w:rFonts w:cs="Arial"/>
        </w:rPr>
        <w:t>Cena nebyla zveřejněna, nicméně pravděpodobná předplacená suma je 4 mld. €</w:t>
      </w:r>
    </w:p>
    <w:p w:rsidR="001C4914" w:rsidRDefault="007E6DCD" w:rsidP="003301CD">
      <w:pPr>
        <w:pStyle w:val="Odstavecseseznamem"/>
        <w:numPr>
          <w:ilvl w:val="0"/>
          <w:numId w:val="138"/>
        </w:numPr>
        <w:spacing w:before="120" w:after="120"/>
        <w:jc w:val="both"/>
        <w:rPr>
          <w:rFonts w:cs="Arial"/>
        </w:rPr>
      </w:pPr>
      <w:r w:rsidRPr="00BC5536">
        <w:rPr>
          <w:rFonts w:cs="Arial"/>
        </w:rPr>
        <w:t>Výstavbová rizika (navýšení ceny) nese vlastník projektu (tzn. EDF) a dlouhodobě budou včleněna do regulovaného tarifu podle zákona NOME</w:t>
      </w:r>
    </w:p>
    <w:p w:rsidR="001C4914" w:rsidRDefault="001C4914">
      <w:pPr>
        <w:rPr>
          <w:rFonts w:cs="Arial"/>
        </w:rPr>
      </w:pPr>
      <w:r>
        <w:rPr>
          <w:rFonts w:cs="Arial"/>
        </w:rPr>
        <w:br w:type="page"/>
      </w:r>
    </w:p>
    <w:p w:rsidR="007E6DCD" w:rsidRPr="003301CD" w:rsidRDefault="007E6DCD" w:rsidP="003301CD">
      <w:pPr>
        <w:rPr>
          <w:rFonts w:cs="Arial"/>
          <w:b/>
        </w:rPr>
      </w:pPr>
      <w:r w:rsidRPr="003301CD">
        <w:rPr>
          <w:rFonts w:cs="Arial"/>
          <w:b/>
        </w:rPr>
        <w:lastRenderedPageBreak/>
        <w:t>SWOT analýza pro použití stejného modelu v ČR: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S – silné stránky</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W – slabé stránky</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Diverzifikace nákladů a rizik</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Tlak na cenu kontraktu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Tlak na včasné dokončení</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Financování pomocí výhodných úvěrů zajištěných PPA</w:t>
            </w:r>
          </w:p>
          <w:p w:rsidR="007E6DCD" w:rsidRPr="0087559F" w:rsidRDefault="007E6DCD" w:rsidP="00F55595">
            <w:pPr>
              <w:pStyle w:val="Odstavecseseznamem"/>
              <w:ind w:left="414"/>
              <w:rPr>
                <w:rFonts w:cs="Arial"/>
              </w:rPr>
            </w:pPr>
          </w:p>
        </w:tc>
        <w:tc>
          <w:tcPr>
            <w:tcW w:w="2500" w:type="pct"/>
            <w:tcBorders>
              <w:top w:val="single" w:sz="12" w:space="0" w:color="auto"/>
              <w:bottom w:val="single" w:sz="12"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Není použitelné v podmínkách ČR – neexistuje dostatek silných investorů - spotřebitelů EE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Založeno na předpokladu odběratelů v nedostatek elektřiny v budoucnu a vyšší ceně elektřiny</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 xml:space="preserve">Nutné státní záruky pro návratnost projektu </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Pravděpodobně nutná notifikace státní podpory</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Nutný postup dle ZVZ nebo získání výjimky (investor není kapitálově provázán s dodavatelem)</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O - příležitosti</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T - hrozby</w:t>
            </w:r>
          </w:p>
        </w:tc>
      </w:tr>
      <w:tr w:rsidR="007E6DCD" w:rsidRPr="0093170C" w:rsidTr="001C4914">
        <w:tc>
          <w:tcPr>
            <w:tcW w:w="2500" w:type="pct"/>
            <w:tcBorders>
              <w:top w:val="single" w:sz="12" w:space="0" w:color="auto"/>
              <w:left w:val="single" w:sz="12" w:space="0" w:color="auto"/>
              <w:bottom w:val="thinThickSmallGap" w:sz="24"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V případě vyšších cen na trhu konkurenční výhoda pro odběratele</w:t>
            </w:r>
          </w:p>
          <w:p w:rsidR="007E6DCD" w:rsidRPr="0093170C" w:rsidRDefault="007E6DCD" w:rsidP="00F55595">
            <w:pPr>
              <w:contextualSpacing/>
              <w:rPr>
                <w:rFonts w:cs="Arial"/>
              </w:rPr>
            </w:pPr>
          </w:p>
        </w:tc>
        <w:tc>
          <w:tcPr>
            <w:tcW w:w="2500" w:type="pct"/>
            <w:tcBorders>
              <w:top w:val="single" w:sz="12" w:space="0" w:color="auto"/>
              <w:bottom w:val="thinThickSmallGap" w:sz="24"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Neschválení notifikace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V případě prodražení projektu jde ztráta na vrub investorovi</w:t>
            </w:r>
          </w:p>
        </w:tc>
      </w:tr>
    </w:tbl>
    <w:p w:rsidR="003301CD" w:rsidRDefault="007E6DCD" w:rsidP="003301CD">
      <w:pPr>
        <w:spacing w:before="200"/>
        <w:rPr>
          <w:rFonts w:cs="Arial"/>
          <w:b/>
          <w:sz w:val="24"/>
          <w:szCs w:val="24"/>
        </w:rPr>
      </w:pPr>
      <w:r w:rsidRPr="003301CD">
        <w:rPr>
          <w:rFonts w:cs="Arial"/>
          <w:b/>
          <w:sz w:val="24"/>
          <w:szCs w:val="24"/>
        </w:rPr>
        <w:t>Shrnutí SWOT analýz</w:t>
      </w:r>
      <w:r w:rsidR="003301CD">
        <w:rPr>
          <w:rFonts w:cs="Arial"/>
          <w:b/>
          <w:sz w:val="24"/>
          <w:szCs w:val="24"/>
        </w:rPr>
        <w:t>y: prakticky nelze použít v ČR.</w:t>
      </w:r>
    </w:p>
    <w:p w:rsidR="007E6DCD" w:rsidRPr="00EC7B99" w:rsidRDefault="007E6DCD" w:rsidP="00EC7B99">
      <w:pPr>
        <w:rPr>
          <w:b/>
        </w:rPr>
      </w:pPr>
      <w:bookmarkStart w:id="328" w:name="_Toc398891678"/>
      <w:bookmarkStart w:id="329" w:name="_Toc402949115"/>
      <w:r w:rsidRPr="00EC7B99">
        <w:rPr>
          <w:b/>
        </w:rPr>
        <w:t>Turecko (</w:t>
      </w:r>
      <w:proofErr w:type="spellStart"/>
      <w:r w:rsidRPr="00EC7B99">
        <w:rPr>
          <w:b/>
        </w:rPr>
        <w:t>Akküyu</w:t>
      </w:r>
      <w:proofErr w:type="spellEnd"/>
      <w:r w:rsidRPr="00EC7B99">
        <w:rPr>
          <w:b/>
        </w:rPr>
        <w:t xml:space="preserve"> 4 × MIR1200)</w:t>
      </w:r>
      <w:bookmarkEnd w:id="328"/>
      <w:bookmarkEnd w:id="329"/>
    </w:p>
    <w:p w:rsidR="007E6DCD" w:rsidRDefault="007E6DCD" w:rsidP="00F55595">
      <w:r>
        <w:rPr>
          <w:rFonts w:cs="Arial"/>
        </w:rPr>
        <w:t>Shrnutí</w:t>
      </w:r>
      <w:r w:rsidRPr="00B726E6">
        <w:t xml:space="preserve"> </w:t>
      </w:r>
      <w:r>
        <w:t>hlavních charakteristik:</w:t>
      </w:r>
    </w:p>
    <w:p w:rsidR="007E6DCD" w:rsidRDefault="007E6DCD" w:rsidP="003301CD">
      <w:pPr>
        <w:pStyle w:val="Odstavecseseznamem"/>
        <w:numPr>
          <w:ilvl w:val="0"/>
          <w:numId w:val="140"/>
        </w:numPr>
        <w:spacing w:before="240"/>
        <w:jc w:val="both"/>
      </w:pPr>
      <w:r>
        <w:t>Kdo nese investiční náklady: dodavatel technologie</w:t>
      </w:r>
    </w:p>
    <w:p w:rsidR="007E6DCD" w:rsidRPr="00B726E6" w:rsidRDefault="007E6DCD" w:rsidP="003301CD">
      <w:pPr>
        <w:pStyle w:val="Odstavecseseznamem"/>
        <w:numPr>
          <w:ilvl w:val="0"/>
          <w:numId w:val="140"/>
        </w:numPr>
        <w:spacing w:before="240"/>
        <w:jc w:val="both"/>
        <w:rPr>
          <w:rFonts w:cs="Arial"/>
        </w:rPr>
      </w:pPr>
      <w:r>
        <w:t>Kdo ručí za cenu elektřiny: stát (skrze distributora energie)</w:t>
      </w:r>
    </w:p>
    <w:p w:rsidR="007E6DCD" w:rsidRDefault="007E6DCD" w:rsidP="003301CD">
      <w:pPr>
        <w:pStyle w:val="Odstavecseseznamem"/>
        <w:numPr>
          <w:ilvl w:val="0"/>
          <w:numId w:val="140"/>
        </w:numPr>
        <w:spacing w:before="240"/>
        <w:jc w:val="both"/>
        <w:rPr>
          <w:rFonts w:cs="Arial"/>
        </w:rPr>
      </w:pPr>
      <w:r w:rsidRPr="00B726E6">
        <w:t>Jak proběhl/pr</w:t>
      </w:r>
      <w:r>
        <w:t>o</w:t>
      </w:r>
      <w:r w:rsidRPr="00B726E6">
        <w:t xml:space="preserve">běhne výběr dodavatele: </w:t>
      </w:r>
      <w:r>
        <w:t xml:space="preserve">dodavatel (který je zároveň hlavním investorem) byl vybrán státem v tendru </w:t>
      </w:r>
    </w:p>
    <w:p w:rsidR="007E6DCD" w:rsidRPr="000E028C" w:rsidRDefault="007E6DCD" w:rsidP="00F55595">
      <w:pPr>
        <w:rPr>
          <w:rFonts w:cs="Arial"/>
        </w:rPr>
      </w:pPr>
      <w:r w:rsidRPr="000E028C">
        <w:rPr>
          <w:rFonts w:cs="Arial"/>
        </w:rPr>
        <w:t>Detail:</w:t>
      </w:r>
    </w:p>
    <w:p w:rsidR="007E6DCD" w:rsidRPr="00BC5536" w:rsidRDefault="007E6DCD" w:rsidP="003301CD">
      <w:pPr>
        <w:pStyle w:val="Odstavecseseznamem"/>
        <w:numPr>
          <w:ilvl w:val="0"/>
          <w:numId w:val="139"/>
        </w:numPr>
        <w:spacing w:before="120" w:after="120"/>
        <w:jc w:val="both"/>
        <w:rPr>
          <w:rFonts w:cs="Arial"/>
        </w:rPr>
      </w:pPr>
      <w:proofErr w:type="spellStart"/>
      <w:r w:rsidRPr="00BC5536">
        <w:rPr>
          <w:rFonts w:cs="Arial"/>
        </w:rPr>
        <w:t>Rosatom</w:t>
      </w:r>
      <w:proofErr w:type="spellEnd"/>
      <w:r w:rsidRPr="00BC5536">
        <w:rPr>
          <w:rFonts w:cs="Arial"/>
        </w:rPr>
        <w:t xml:space="preserve"> na své náklady postaví čtyři bloky a poté je bude vlastnit a provozovat, přičemž 49% podíl by měl prodat strategickému investorovi, pravděpodobně jedné z tureckých utilit </w:t>
      </w:r>
    </w:p>
    <w:p w:rsidR="007E6DCD" w:rsidRPr="00BC5536" w:rsidRDefault="007E6DCD" w:rsidP="003301CD">
      <w:pPr>
        <w:pStyle w:val="Odstavecseseznamem"/>
        <w:numPr>
          <w:ilvl w:val="0"/>
          <w:numId w:val="139"/>
        </w:numPr>
        <w:spacing w:before="120" w:after="120"/>
        <w:jc w:val="both"/>
        <w:rPr>
          <w:rFonts w:cs="Arial"/>
        </w:rPr>
      </w:pPr>
      <w:r w:rsidRPr="00BC5536">
        <w:rPr>
          <w:rFonts w:cs="Arial"/>
        </w:rPr>
        <w:t>Celkové náklady projektu jsou odhadovány na 20 miliard </w:t>
      </w:r>
      <w:hyperlink r:id="rId19" w:history="1">
        <w:r w:rsidRPr="00BC5536">
          <w:rPr>
            <w:rFonts w:cs="Arial"/>
          </w:rPr>
          <w:t>dolarů</w:t>
        </w:r>
      </w:hyperlink>
      <w:r w:rsidRPr="00BC5536">
        <w:rPr>
          <w:rFonts w:cs="Arial"/>
        </w:rPr>
        <w:t xml:space="preserve"> </w:t>
      </w:r>
    </w:p>
    <w:p w:rsidR="007E6DCD" w:rsidRPr="00BC5536" w:rsidRDefault="007E6DCD" w:rsidP="003301CD">
      <w:pPr>
        <w:pStyle w:val="Odstavecseseznamem"/>
        <w:numPr>
          <w:ilvl w:val="0"/>
          <w:numId w:val="139"/>
        </w:numPr>
        <w:spacing w:before="120" w:after="120"/>
        <w:jc w:val="both"/>
        <w:rPr>
          <w:rFonts w:cs="Arial"/>
        </w:rPr>
      </w:pPr>
      <w:r w:rsidRPr="00BC5536">
        <w:rPr>
          <w:rFonts w:cs="Arial"/>
        </w:rPr>
        <w:t xml:space="preserve">Podle mezivládního kontraktu se turecký distributor zavázal prvních 15 let provozu odebírat </w:t>
      </w:r>
      <w:r>
        <w:rPr>
          <w:rFonts w:cs="Arial"/>
        </w:rPr>
        <w:t>za garantovanou cenu 123,5 USD/</w:t>
      </w:r>
      <w:proofErr w:type="spellStart"/>
      <w:r>
        <w:rPr>
          <w:rFonts w:cs="Arial"/>
        </w:rPr>
        <w:t>M</w:t>
      </w:r>
      <w:r w:rsidRPr="00BC5536">
        <w:rPr>
          <w:rFonts w:cs="Arial"/>
        </w:rPr>
        <w:t>Wh</w:t>
      </w:r>
      <w:proofErr w:type="spellEnd"/>
      <w:r w:rsidRPr="00BC5536">
        <w:rPr>
          <w:rFonts w:cs="Arial"/>
        </w:rPr>
        <w:t xml:space="preserve"> (92 </w:t>
      </w:r>
      <w:hyperlink r:id="rId20" w:history="1">
        <w:proofErr w:type="gramStart"/>
        <w:r w:rsidRPr="00BC5536">
          <w:rPr>
            <w:rFonts w:cs="Arial"/>
          </w:rPr>
          <w:t>EUR</w:t>
        </w:r>
      </w:hyperlink>
      <w:r w:rsidRPr="00BC5536">
        <w:rPr>
          <w:rFonts w:cs="Arial"/>
        </w:rPr>
        <w:t>/</w:t>
      </w:r>
      <w:proofErr w:type="spellStart"/>
      <w:r w:rsidRPr="00BC5536">
        <w:rPr>
          <w:rFonts w:cs="Arial"/>
        </w:rPr>
        <w:t>MWh</w:t>
      </w:r>
      <w:proofErr w:type="spellEnd"/>
      <w:r w:rsidRPr="00BC5536">
        <w:rPr>
          <w:rFonts w:cs="Arial"/>
        </w:rPr>
        <w:t>) (průměrně</w:t>
      </w:r>
      <w:proofErr w:type="gramEnd"/>
      <w:r w:rsidRPr="00BC5536">
        <w:rPr>
          <w:rFonts w:cs="Arial"/>
        </w:rPr>
        <w:t xml:space="preserve"> za všechny 4 bloky) </w:t>
      </w:r>
    </w:p>
    <w:p w:rsidR="001C4914" w:rsidRDefault="007E6DCD" w:rsidP="003301CD">
      <w:pPr>
        <w:pStyle w:val="Odstavecseseznamem"/>
        <w:numPr>
          <w:ilvl w:val="0"/>
          <w:numId w:val="139"/>
        </w:numPr>
        <w:spacing w:before="120" w:after="120"/>
        <w:jc w:val="both"/>
        <w:rPr>
          <w:rFonts w:cs="Arial"/>
        </w:rPr>
      </w:pPr>
      <w:r w:rsidRPr="00BC5536">
        <w:rPr>
          <w:rFonts w:cs="Arial"/>
        </w:rPr>
        <w:t xml:space="preserve">ZVZ: Turecko není zatím v EU, proto se na ně příslušné směrnice o ZVZ neaplikují </w:t>
      </w:r>
    </w:p>
    <w:p w:rsidR="001C4914" w:rsidRDefault="001C4914">
      <w:pPr>
        <w:rPr>
          <w:rFonts w:cs="Arial"/>
        </w:rPr>
      </w:pPr>
      <w:r>
        <w:rPr>
          <w:rFonts w:cs="Arial"/>
        </w:rPr>
        <w:br w:type="page"/>
      </w:r>
    </w:p>
    <w:p w:rsidR="007E6DCD" w:rsidRPr="003301CD" w:rsidRDefault="007E6DCD" w:rsidP="003301CD">
      <w:pPr>
        <w:spacing w:before="200"/>
        <w:rPr>
          <w:rFonts w:cs="Arial"/>
          <w:b/>
        </w:rPr>
      </w:pPr>
      <w:r w:rsidRPr="003301CD">
        <w:rPr>
          <w:rFonts w:cs="Arial"/>
          <w:b/>
        </w:rPr>
        <w:lastRenderedPageBreak/>
        <w:t>SWOT analýza pro použití stejného modelu v ČR: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S – silné stránky</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W – slabé stránky</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Rizika z výstavby a spouštění jsou na dodavatelovi</w:t>
            </w:r>
          </w:p>
          <w:p w:rsidR="007E6DCD" w:rsidRPr="0087559F" w:rsidRDefault="007E6DCD" w:rsidP="00F55595">
            <w:pPr>
              <w:pStyle w:val="Odstavecseseznamem"/>
              <w:ind w:left="414"/>
              <w:rPr>
                <w:rFonts w:cs="Arial"/>
              </w:rPr>
            </w:pPr>
          </w:p>
        </w:tc>
        <w:tc>
          <w:tcPr>
            <w:tcW w:w="2500" w:type="pct"/>
            <w:tcBorders>
              <w:top w:val="single" w:sz="12" w:space="0" w:color="auto"/>
              <w:bottom w:val="single" w:sz="12"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Riziko cen elektřiny nese státní rozpočet nebo spotřebitel, ale až po uvedení do provozu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Nutné státní garance pro zajištění návratnosti odkupu podílu „domácí firmou“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Nutná notifikace v Bruselu – v podmínkách EU pravděpodobně neproveditelné</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Garantovaný výkup elektřiny zmenšuje volný trh s elektřinou</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Nízké zapojení domácího průmyslu</w:t>
            </w:r>
          </w:p>
        </w:tc>
      </w:tr>
      <w:tr w:rsidR="007E6DCD" w:rsidRPr="0093170C" w:rsidTr="001C4914">
        <w:tc>
          <w:tcPr>
            <w:tcW w:w="2500" w:type="pct"/>
            <w:tcBorders>
              <w:top w:val="single" w:sz="12" w:space="0" w:color="auto"/>
              <w:left w:val="single" w:sz="12" w:space="0" w:color="auto"/>
              <w:bottom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O - příležitosti</w:t>
            </w:r>
          </w:p>
        </w:tc>
        <w:tc>
          <w:tcPr>
            <w:tcW w:w="2500" w:type="pct"/>
            <w:tcBorders>
              <w:top w:val="single" w:sz="12" w:space="0" w:color="auto"/>
              <w:bottom w:val="single" w:sz="12" w:space="0" w:color="auto"/>
              <w:right w:val="single" w:sz="12" w:space="0" w:color="auto"/>
            </w:tcBorders>
            <w:shd w:val="clear" w:color="auto" w:fill="B8CCE4" w:themeFill="accent1" w:themeFillTint="66"/>
            <w:vAlign w:val="center"/>
          </w:tcPr>
          <w:p w:rsidR="007E6DCD" w:rsidRPr="0093170C" w:rsidRDefault="007E6DCD" w:rsidP="001C4914">
            <w:pPr>
              <w:spacing w:before="120" w:after="120"/>
              <w:jc w:val="center"/>
              <w:rPr>
                <w:rFonts w:cs="Arial"/>
                <w:b/>
              </w:rPr>
            </w:pPr>
            <w:r w:rsidRPr="0093170C">
              <w:rPr>
                <w:rFonts w:cs="Arial"/>
                <w:b/>
              </w:rPr>
              <w:t>T – hrozby</w:t>
            </w:r>
          </w:p>
        </w:tc>
      </w:tr>
      <w:tr w:rsidR="007E6DCD" w:rsidRPr="0093170C" w:rsidTr="001C4914">
        <w:tc>
          <w:tcPr>
            <w:tcW w:w="2500" w:type="pct"/>
            <w:tcBorders>
              <w:top w:val="single" w:sz="12" w:space="0" w:color="auto"/>
              <w:left w:val="single" w:sz="12" w:space="0" w:color="auto"/>
              <w:bottom w:val="thinThickSmallGap" w:sz="24"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V případě vyšších cen na trhu s EE – příjem pro státní pokladnu</w:t>
            </w:r>
          </w:p>
          <w:p w:rsidR="007E6DCD" w:rsidRPr="0093170C" w:rsidRDefault="007E6DCD" w:rsidP="00F55595">
            <w:pPr>
              <w:contextualSpacing/>
              <w:rPr>
                <w:rFonts w:cs="Arial"/>
              </w:rPr>
            </w:pPr>
          </w:p>
        </w:tc>
        <w:tc>
          <w:tcPr>
            <w:tcW w:w="2500" w:type="pct"/>
            <w:tcBorders>
              <w:top w:val="single" w:sz="12" w:space="0" w:color="auto"/>
              <w:bottom w:val="thinThickSmallGap" w:sz="24" w:space="0" w:color="auto"/>
              <w:right w:val="single" w:sz="12" w:space="0" w:color="auto"/>
            </w:tcBorders>
            <w:shd w:val="clear" w:color="auto" w:fill="auto"/>
          </w:tcPr>
          <w:p w:rsidR="007E6DCD" w:rsidRPr="0087559F" w:rsidRDefault="007E6DCD" w:rsidP="00F55595">
            <w:pPr>
              <w:pStyle w:val="Odstavecseseznamem"/>
              <w:numPr>
                <w:ilvl w:val="0"/>
                <w:numId w:val="119"/>
              </w:numPr>
              <w:spacing w:after="0"/>
              <w:ind w:left="414" w:hanging="357"/>
              <w:rPr>
                <w:rFonts w:cs="Arial"/>
              </w:rPr>
            </w:pPr>
            <w:r w:rsidRPr="0087559F">
              <w:rPr>
                <w:rFonts w:cs="Arial"/>
              </w:rPr>
              <w:t>Neschválení notifikace</w:t>
            </w:r>
          </w:p>
          <w:p w:rsidR="007E6DCD" w:rsidRPr="0087559F" w:rsidRDefault="007E6DCD" w:rsidP="00F55595">
            <w:pPr>
              <w:pStyle w:val="Odstavecseseznamem"/>
              <w:numPr>
                <w:ilvl w:val="0"/>
                <w:numId w:val="119"/>
              </w:numPr>
              <w:spacing w:after="0"/>
              <w:ind w:left="414" w:hanging="357"/>
              <w:rPr>
                <w:rFonts w:cs="Arial"/>
              </w:rPr>
            </w:pPr>
            <w:r w:rsidRPr="0087559F">
              <w:rPr>
                <w:rFonts w:cs="Arial"/>
              </w:rPr>
              <w:t>Možné zneužití zdroje ke geopolitickým účelům ze strany investora.</w:t>
            </w:r>
          </w:p>
        </w:tc>
      </w:tr>
    </w:tbl>
    <w:p w:rsidR="007E6DCD" w:rsidRPr="003301CD" w:rsidRDefault="007E6DCD" w:rsidP="003301CD">
      <w:pPr>
        <w:spacing w:before="200"/>
        <w:jc w:val="both"/>
        <w:rPr>
          <w:rFonts w:cs="Arial"/>
          <w:b/>
          <w:sz w:val="24"/>
          <w:szCs w:val="24"/>
        </w:rPr>
      </w:pPr>
      <w:r w:rsidRPr="003301CD">
        <w:rPr>
          <w:rFonts w:cs="Arial"/>
          <w:b/>
          <w:sz w:val="24"/>
          <w:szCs w:val="24"/>
        </w:rPr>
        <w:t>Shrnutí SWOT analýzy: prakticky nelze použít v ČR z důvodů naprosté nekompatibility s modelem trhu s elektřinou ČR i EU.</w:t>
      </w:r>
      <w:bookmarkStart w:id="330" w:name="_Toc398891679"/>
      <w:r w:rsidRPr="003301CD">
        <w:rPr>
          <w:rFonts w:cs="Arial"/>
          <w:b/>
          <w:sz w:val="24"/>
          <w:szCs w:val="24"/>
        </w:rPr>
        <w:t xml:space="preserve"> </w:t>
      </w:r>
    </w:p>
    <w:p w:rsidR="007E6DCD" w:rsidRPr="00EC7B99" w:rsidRDefault="007E6DCD" w:rsidP="00EC7B99">
      <w:pPr>
        <w:rPr>
          <w:b/>
        </w:rPr>
      </w:pPr>
      <w:bookmarkStart w:id="331" w:name="_Toc402949116"/>
      <w:r w:rsidRPr="00EC7B99">
        <w:rPr>
          <w:b/>
        </w:rPr>
        <w:t>Slovensko (Jaslovské Bohunice)</w:t>
      </w:r>
      <w:bookmarkEnd w:id="330"/>
      <w:bookmarkEnd w:id="331"/>
    </w:p>
    <w:p w:rsidR="007E6DCD" w:rsidRPr="00BC5536" w:rsidRDefault="007E6DCD" w:rsidP="00DB64F6">
      <w:pPr>
        <w:pStyle w:val="Odstavecseseznamem"/>
        <w:numPr>
          <w:ilvl w:val="0"/>
          <w:numId w:val="141"/>
        </w:numPr>
        <w:spacing w:before="120" w:after="120"/>
        <w:jc w:val="both"/>
        <w:rPr>
          <w:rFonts w:cs="Arial"/>
        </w:rPr>
      </w:pPr>
      <w:r w:rsidRPr="00BC5536">
        <w:rPr>
          <w:rFonts w:cs="Arial"/>
        </w:rPr>
        <w:t>4÷6 mld.  €/ blok (pravděpodobně 1 blok)</w:t>
      </w:r>
    </w:p>
    <w:p w:rsidR="007E6DCD" w:rsidRPr="00BC5536" w:rsidRDefault="007E6DCD" w:rsidP="00DB64F6">
      <w:pPr>
        <w:pStyle w:val="Odstavecseseznamem"/>
        <w:numPr>
          <w:ilvl w:val="0"/>
          <w:numId w:val="141"/>
        </w:numPr>
        <w:spacing w:before="120" w:after="120"/>
        <w:jc w:val="both"/>
        <w:rPr>
          <w:rFonts w:cs="Arial"/>
        </w:rPr>
      </w:pPr>
      <w:r w:rsidRPr="00BC5536">
        <w:rPr>
          <w:rFonts w:cs="Arial"/>
        </w:rPr>
        <w:t xml:space="preserve">Spoluinvestorem, by mohl být dodavatel technologie </w:t>
      </w:r>
    </w:p>
    <w:p w:rsidR="007E6DCD" w:rsidRPr="00BC5536" w:rsidRDefault="007E6DCD" w:rsidP="00DB64F6">
      <w:pPr>
        <w:pStyle w:val="Odstavecseseznamem"/>
        <w:numPr>
          <w:ilvl w:val="0"/>
          <w:numId w:val="141"/>
        </w:numPr>
        <w:spacing w:before="120" w:after="120"/>
        <w:jc w:val="both"/>
        <w:rPr>
          <w:rFonts w:cs="Arial"/>
        </w:rPr>
      </w:pPr>
      <w:r w:rsidRPr="00BC5536">
        <w:rPr>
          <w:rFonts w:cs="Arial"/>
        </w:rPr>
        <w:t xml:space="preserve">Původně uvažovaná podpora formou garantovaných cen (podmínka investora – vstup zvažoval </w:t>
      </w:r>
      <w:proofErr w:type="spellStart"/>
      <w:r w:rsidRPr="00BC5536">
        <w:rPr>
          <w:rFonts w:cs="Arial"/>
        </w:rPr>
        <w:t>Rosatom</w:t>
      </w:r>
      <w:proofErr w:type="spellEnd"/>
      <w:r w:rsidRPr="00BC5536">
        <w:rPr>
          <w:rFonts w:cs="Arial"/>
        </w:rPr>
        <w:t>) cca 65 EUR/</w:t>
      </w:r>
      <w:proofErr w:type="spellStart"/>
      <w:r w:rsidRPr="00BC5536">
        <w:rPr>
          <w:rFonts w:cs="Arial"/>
        </w:rPr>
        <w:t>MWh</w:t>
      </w:r>
      <w:proofErr w:type="spellEnd"/>
      <w:r w:rsidRPr="00BC5536">
        <w:rPr>
          <w:rFonts w:cs="Arial"/>
        </w:rPr>
        <w:t xml:space="preserve"> byla slovenskou vládou zamítnuta</w:t>
      </w:r>
      <w:r>
        <w:rPr>
          <w:rFonts w:cs="Arial"/>
        </w:rPr>
        <w:t>, další diskuse prozatím neprobíhají, alespoň ne veřejně.</w:t>
      </w:r>
    </w:p>
    <w:p w:rsidR="007E6DCD" w:rsidRDefault="007E6DCD" w:rsidP="00DB64F6">
      <w:pPr>
        <w:pStyle w:val="Odstavecseseznamem"/>
        <w:numPr>
          <w:ilvl w:val="0"/>
          <w:numId w:val="141"/>
        </w:numPr>
        <w:spacing w:before="120" w:after="120"/>
        <w:jc w:val="both"/>
        <w:rPr>
          <w:rFonts w:cs="Arial"/>
        </w:rPr>
      </w:pPr>
      <w:r w:rsidRPr="00BC5536">
        <w:rPr>
          <w:rFonts w:cs="Arial"/>
        </w:rPr>
        <w:t>ZVZ: SR podání žádosti o vynětí ze ZVZ zvažuje, ale žádné kroky zatím formálně vůči EK nepodnikla (zatím ve</w:t>
      </w:r>
      <w:r w:rsidR="00DB64F6">
        <w:rPr>
          <w:rFonts w:cs="Arial"/>
        </w:rPr>
        <w:t xml:space="preserve"> fázi neformální </w:t>
      </w:r>
      <w:proofErr w:type="spellStart"/>
      <w:r w:rsidR="00DB64F6">
        <w:rPr>
          <w:rFonts w:cs="Arial"/>
        </w:rPr>
        <w:t>prenotifikace</w:t>
      </w:r>
      <w:proofErr w:type="spellEnd"/>
      <w:r w:rsidR="00DB64F6">
        <w:rPr>
          <w:rFonts w:cs="Arial"/>
        </w:rPr>
        <w:t>)</w:t>
      </w:r>
    </w:p>
    <w:p w:rsidR="007E6DCD" w:rsidRPr="00DB64F6" w:rsidRDefault="007E6DCD" w:rsidP="00F55595">
      <w:pPr>
        <w:spacing w:before="120" w:after="120"/>
        <w:rPr>
          <w:rFonts w:cs="Arial"/>
          <w:b/>
          <w:sz w:val="24"/>
          <w:szCs w:val="24"/>
        </w:rPr>
      </w:pPr>
      <w:r w:rsidRPr="00DB64F6">
        <w:rPr>
          <w:rFonts w:cs="Arial"/>
          <w:b/>
          <w:sz w:val="24"/>
          <w:szCs w:val="24"/>
        </w:rPr>
        <w:t xml:space="preserve">Shrnutí SWOT analýzy: preferovaný model pro ČR – analogie </w:t>
      </w:r>
      <w:proofErr w:type="spellStart"/>
      <w:r w:rsidRPr="00DB64F6">
        <w:rPr>
          <w:rFonts w:cs="Arial"/>
          <w:b/>
          <w:sz w:val="24"/>
          <w:szCs w:val="24"/>
        </w:rPr>
        <w:t>Hinkley</w:t>
      </w:r>
      <w:proofErr w:type="spellEnd"/>
      <w:r w:rsidRPr="00DB64F6">
        <w:rPr>
          <w:rFonts w:cs="Arial"/>
          <w:b/>
          <w:sz w:val="24"/>
          <w:szCs w:val="24"/>
        </w:rPr>
        <w:t xml:space="preserve"> </w:t>
      </w:r>
      <w:proofErr w:type="spellStart"/>
      <w:r w:rsidRPr="00DB64F6">
        <w:rPr>
          <w:rFonts w:cs="Arial"/>
          <w:b/>
          <w:sz w:val="24"/>
          <w:szCs w:val="24"/>
        </w:rPr>
        <w:t>Poind</w:t>
      </w:r>
      <w:proofErr w:type="spellEnd"/>
      <w:r w:rsidRPr="00DB64F6">
        <w:rPr>
          <w:rFonts w:cs="Arial"/>
          <w:b/>
          <w:sz w:val="24"/>
          <w:szCs w:val="24"/>
        </w:rPr>
        <w:t xml:space="preserve"> C projektu ve Velké Británii. </w:t>
      </w:r>
    </w:p>
    <w:p w:rsidR="007E6DCD" w:rsidRPr="00EC7B99" w:rsidRDefault="007E6DCD" w:rsidP="00EC7B99">
      <w:pPr>
        <w:rPr>
          <w:b/>
        </w:rPr>
      </w:pPr>
      <w:bookmarkStart w:id="332" w:name="_Toc402949117"/>
      <w:r w:rsidRPr="00EC7B99">
        <w:rPr>
          <w:b/>
        </w:rPr>
        <w:t>Polsko</w:t>
      </w:r>
      <w:bookmarkEnd w:id="332"/>
      <w:r w:rsidRPr="00EC7B99">
        <w:rPr>
          <w:b/>
        </w:rPr>
        <w:t xml:space="preserve"> </w:t>
      </w:r>
    </w:p>
    <w:p w:rsidR="007E6DCD" w:rsidRDefault="007E6DCD" w:rsidP="00DB64F6">
      <w:pPr>
        <w:pStyle w:val="Odstavecseseznamem"/>
        <w:numPr>
          <w:ilvl w:val="0"/>
          <w:numId w:val="142"/>
        </w:numPr>
        <w:spacing w:after="0"/>
        <w:contextualSpacing w:val="0"/>
        <w:jc w:val="both"/>
      </w:pPr>
      <w:r w:rsidRPr="00780835">
        <w:rPr>
          <w:bCs/>
        </w:rPr>
        <w:t>28. 1. 2014 polský kabinet schválil polský program pro jadernou energii</w:t>
      </w:r>
      <w:r>
        <w:t xml:space="preserve">, na základě toho se má vystavět první nukleární elektrárna v Polsku vůbec, předpokládané </w:t>
      </w:r>
      <w:r w:rsidRPr="00780835">
        <w:rPr>
          <w:bCs/>
        </w:rPr>
        <w:t>náklady</w:t>
      </w:r>
      <w:r>
        <w:t xml:space="preserve"> jsou 40-60 mld. zlotých</w:t>
      </w:r>
      <w:r w:rsidRPr="00780835">
        <w:t xml:space="preserve"> </w:t>
      </w:r>
      <w:r w:rsidRPr="00780835">
        <w:rPr>
          <w:bCs/>
        </w:rPr>
        <w:t>(13-19 mld. USD)</w:t>
      </w:r>
    </w:p>
    <w:p w:rsidR="007E6DCD" w:rsidRDefault="007E6DCD" w:rsidP="00DB64F6">
      <w:pPr>
        <w:pStyle w:val="Odstavecseseznamem"/>
        <w:numPr>
          <w:ilvl w:val="0"/>
          <w:numId w:val="142"/>
        </w:numPr>
        <w:spacing w:after="0"/>
        <w:contextualSpacing w:val="0"/>
        <w:jc w:val="both"/>
      </w:pPr>
      <w:r>
        <w:t xml:space="preserve">O </w:t>
      </w:r>
      <w:r w:rsidRPr="00780835">
        <w:rPr>
          <w:bCs/>
        </w:rPr>
        <w:t>místě dostavby má být rozhodnuto do roku 2016, výstavba by měla začít v 2019</w:t>
      </w:r>
      <w:r>
        <w:t xml:space="preserve">, uvažuje se o místech blízko Baltického moře – </w:t>
      </w:r>
      <w:proofErr w:type="spellStart"/>
      <w:r>
        <w:t>Choczewo</w:t>
      </w:r>
      <w:proofErr w:type="spellEnd"/>
      <w:r>
        <w:t xml:space="preserve"> a </w:t>
      </w:r>
      <w:proofErr w:type="spellStart"/>
      <w:r>
        <w:t>Zarnowiec</w:t>
      </w:r>
      <w:proofErr w:type="spellEnd"/>
      <w:r>
        <w:rPr>
          <w:rStyle w:val="Znakapoznpodarou"/>
        </w:rPr>
        <w:footnoteReference w:id="19"/>
      </w:r>
    </w:p>
    <w:p w:rsidR="007E6DCD" w:rsidRDefault="007E6DCD" w:rsidP="00DB64F6">
      <w:pPr>
        <w:pStyle w:val="Odstavecseseznamem"/>
        <w:numPr>
          <w:ilvl w:val="0"/>
          <w:numId w:val="142"/>
        </w:numPr>
        <w:spacing w:after="0"/>
        <w:contextualSpacing w:val="0"/>
        <w:jc w:val="both"/>
        <w:rPr>
          <w:b/>
          <w:bCs/>
        </w:rPr>
      </w:pPr>
      <w:r w:rsidRPr="00780835">
        <w:rPr>
          <w:bCs/>
        </w:rPr>
        <w:lastRenderedPageBreak/>
        <w:t>první elektrárna</w:t>
      </w:r>
      <w:r>
        <w:t xml:space="preserve"> má být dostavěna / začít fungovat </w:t>
      </w:r>
      <w:r w:rsidRPr="00780835">
        <w:t>v </w:t>
      </w:r>
      <w:r w:rsidRPr="00780835">
        <w:rPr>
          <w:bCs/>
        </w:rPr>
        <w:t>roce 2024 a</w:t>
      </w:r>
      <w:r>
        <w:t xml:space="preserve"> má mít výkon až </w:t>
      </w:r>
      <w:r w:rsidRPr="00780835">
        <w:rPr>
          <w:bCs/>
        </w:rPr>
        <w:t>3000 MW</w:t>
      </w:r>
      <w:r w:rsidRPr="00780835">
        <w:t xml:space="preserve">, </w:t>
      </w:r>
      <w:r w:rsidRPr="00780835">
        <w:rPr>
          <w:bCs/>
        </w:rPr>
        <w:t>druhá</w:t>
      </w:r>
      <w:r>
        <w:rPr>
          <w:b/>
          <w:bCs/>
        </w:rPr>
        <w:t xml:space="preserve"> </w:t>
      </w:r>
      <w:r>
        <w:t xml:space="preserve">by měla být dokončena </w:t>
      </w:r>
      <w:r w:rsidRPr="00780835">
        <w:rPr>
          <w:bCs/>
        </w:rPr>
        <w:t>do roku 2035</w:t>
      </w:r>
    </w:p>
    <w:p w:rsidR="007E6DCD" w:rsidRDefault="007E6DCD" w:rsidP="00DB64F6">
      <w:pPr>
        <w:pStyle w:val="Odstavecseseznamem"/>
        <w:numPr>
          <w:ilvl w:val="0"/>
          <w:numId w:val="142"/>
        </w:numPr>
        <w:spacing w:before="120" w:after="120"/>
        <w:jc w:val="both"/>
        <w:rPr>
          <w:rFonts w:cs="Arial"/>
        </w:rPr>
      </w:pPr>
      <w:r w:rsidRPr="009B21EE">
        <w:rPr>
          <w:rFonts w:cs="Arial"/>
        </w:rPr>
        <w:t>S ohledem na požadavek na výjimku ze ZVZ podle čl. 35 nové sektorové směrnice 2014/25 (dříve čl. 30 směrnice 2004/17), o výjimku na výrobu a velkoobchodní prodej elektřiny zažádalo samotné PL 15. května 2014. Původní lhůta pro vydání rozhodnutí EK byla 25. září. EK však lhůtu prodloužila, jelikož si ještě od PL vyžádala dodatečné informace. Rozhodnutí je očekáváno až 31. října,  tedy ještě za stávající EK.</w:t>
      </w:r>
    </w:p>
    <w:p w:rsidR="007E6DCD" w:rsidRDefault="007E6DCD" w:rsidP="00DB64F6">
      <w:pPr>
        <w:pStyle w:val="Odstavecseseznamem"/>
        <w:numPr>
          <w:ilvl w:val="0"/>
          <w:numId w:val="142"/>
        </w:numPr>
        <w:spacing w:after="0"/>
        <w:contextualSpacing w:val="0"/>
        <w:jc w:val="both"/>
      </w:pPr>
      <w:r>
        <w:t xml:space="preserve">11. 9. 2014 – podepsána dohoda PGE s AMEC </w:t>
      </w:r>
      <w:proofErr w:type="spellStart"/>
      <w:r>
        <w:t>Nuclear</w:t>
      </w:r>
      <w:proofErr w:type="spellEnd"/>
      <w:r>
        <w:t xml:space="preserve"> UK o technické podpoře pro investiční proces vedoucí k výstavbě první polské nukleární elektrárny</w:t>
      </w:r>
    </w:p>
    <w:p w:rsidR="007E6DCD" w:rsidRDefault="007E6DCD" w:rsidP="00DB64F6">
      <w:pPr>
        <w:pStyle w:val="Odstavecseseznamem"/>
        <w:numPr>
          <w:ilvl w:val="0"/>
          <w:numId w:val="142"/>
        </w:numPr>
        <w:spacing w:after="0"/>
        <w:contextualSpacing w:val="0"/>
        <w:jc w:val="both"/>
      </w:pPr>
      <w:r>
        <w:t xml:space="preserve">PGE EJ 1 </w:t>
      </w:r>
      <w:proofErr w:type="spellStart"/>
      <w:r>
        <w:t>Sp</w:t>
      </w:r>
      <w:proofErr w:type="spellEnd"/>
      <w:r>
        <w:t xml:space="preserve">. z </w:t>
      </w:r>
      <w:proofErr w:type="spellStart"/>
      <w:proofErr w:type="gramStart"/>
      <w:r>
        <w:t>o.o</w:t>
      </w:r>
      <w:proofErr w:type="spellEnd"/>
      <w:r>
        <w:t>.</w:t>
      </w:r>
      <w:proofErr w:type="gramEnd"/>
      <w:r>
        <w:t xml:space="preserve">, by měla být odpovědna za přímou přípravu investice, charakteristiku místa výstavby, přijímání všech relevantních rozhodnutí, licencí a povolení pro výstavbu JE </w:t>
      </w:r>
    </w:p>
    <w:p w:rsidR="007E6DCD" w:rsidRDefault="007E6DCD" w:rsidP="00DB64F6">
      <w:pPr>
        <w:pStyle w:val="Odstavecseseznamem"/>
        <w:numPr>
          <w:ilvl w:val="0"/>
          <w:numId w:val="142"/>
        </w:numPr>
        <w:spacing w:after="0"/>
        <w:contextualSpacing w:val="0"/>
        <w:jc w:val="both"/>
      </w:pPr>
      <w:r>
        <w:t xml:space="preserve">3. 9. 2014 podepsalo </w:t>
      </w:r>
      <w:r w:rsidRPr="00780835">
        <w:rPr>
          <w:bCs/>
        </w:rPr>
        <w:t>PGE dohodu s </w:t>
      </w:r>
      <w:proofErr w:type="spellStart"/>
      <w:r w:rsidRPr="00780835">
        <w:rPr>
          <w:bCs/>
        </w:rPr>
        <w:t>Enea</w:t>
      </w:r>
      <w:proofErr w:type="spellEnd"/>
      <w:r w:rsidRPr="00780835">
        <w:rPr>
          <w:bCs/>
        </w:rPr>
        <w:t xml:space="preserve">, </w:t>
      </w:r>
      <w:proofErr w:type="spellStart"/>
      <w:r w:rsidRPr="00780835">
        <w:rPr>
          <w:bCs/>
        </w:rPr>
        <w:t>Tauron</w:t>
      </w:r>
      <w:proofErr w:type="spellEnd"/>
      <w:r w:rsidRPr="00780835">
        <w:rPr>
          <w:bCs/>
        </w:rPr>
        <w:t xml:space="preserve"> a KGHM</w:t>
      </w:r>
      <w:r>
        <w:rPr>
          <w:bCs/>
        </w:rPr>
        <w:t>, každý kupuje 10</w:t>
      </w:r>
      <w:r w:rsidR="002172FD">
        <w:rPr>
          <w:bCs/>
        </w:rPr>
        <w:t xml:space="preserve"> </w:t>
      </w:r>
      <w:r w:rsidRPr="00780835">
        <w:rPr>
          <w:bCs/>
        </w:rPr>
        <w:t>%</w:t>
      </w:r>
      <w:r w:rsidR="002172FD">
        <w:t xml:space="preserve"> v</w:t>
      </w:r>
      <w:r>
        <w:t xml:space="preserve"> PGE EJ 1</w:t>
      </w:r>
    </w:p>
    <w:p w:rsidR="007E6DCD" w:rsidRDefault="007E6DCD" w:rsidP="00DB64F6">
      <w:pPr>
        <w:pStyle w:val="Odstavecseseznamem"/>
        <w:numPr>
          <w:ilvl w:val="0"/>
          <w:numId w:val="142"/>
        </w:numPr>
        <w:spacing w:after="0"/>
        <w:contextualSpacing w:val="0"/>
        <w:jc w:val="both"/>
      </w:pPr>
      <w:r>
        <w:t xml:space="preserve">transakci ještě musí schválit polský protimonopolní úřad </w:t>
      </w:r>
      <w:proofErr w:type="spellStart"/>
      <w:r>
        <w:t>UOKiK</w:t>
      </w:r>
      <w:proofErr w:type="spellEnd"/>
    </w:p>
    <w:p w:rsidR="007E6DCD" w:rsidRDefault="007E6DCD" w:rsidP="00DB64F6">
      <w:pPr>
        <w:pStyle w:val="Odstavecseseznamem"/>
        <w:numPr>
          <w:ilvl w:val="0"/>
          <w:numId w:val="142"/>
        </w:numPr>
        <w:spacing w:after="0"/>
        <w:contextualSpacing w:val="0"/>
        <w:jc w:val="both"/>
      </w:pPr>
      <w:r>
        <w:t>společnosti se domluvili, že budou dle podílů financovat celý projekt, následující krok by měl mít hodnotu 238 mil. Eur</w:t>
      </w:r>
    </w:p>
    <w:p w:rsidR="007E6DCD" w:rsidRPr="00780835" w:rsidRDefault="007E6DCD" w:rsidP="00DB64F6">
      <w:pPr>
        <w:pStyle w:val="Odstavecseseznamem"/>
        <w:numPr>
          <w:ilvl w:val="0"/>
          <w:numId w:val="142"/>
        </w:numPr>
        <w:spacing w:after="0"/>
        <w:contextualSpacing w:val="0"/>
        <w:jc w:val="both"/>
      </w:pPr>
      <w:r>
        <w:t xml:space="preserve">dalším krokem je výběr technického partnera přímo pro výstavbu, </w:t>
      </w:r>
      <w:r w:rsidRPr="00780835">
        <w:rPr>
          <w:bCs/>
        </w:rPr>
        <w:t>první tendr má být začátkem příštího roku</w:t>
      </w:r>
    </w:p>
    <w:p w:rsidR="007E6DCD" w:rsidRDefault="007E6DCD" w:rsidP="00C159C6">
      <w:pPr>
        <w:pStyle w:val="Odstavecseseznamem"/>
        <w:numPr>
          <w:ilvl w:val="0"/>
          <w:numId w:val="142"/>
        </w:numPr>
        <w:spacing w:after="120"/>
        <w:ind w:left="714" w:hanging="357"/>
        <w:contextualSpacing w:val="0"/>
        <w:jc w:val="both"/>
      </w:pPr>
      <w:r>
        <w:t>v roce 2017 se partneři domluví na dalším angažování se v projektu výstavby</w:t>
      </w:r>
    </w:p>
    <w:p w:rsidR="00502BF5" w:rsidRDefault="007E6DCD" w:rsidP="002172FD">
      <w:pPr>
        <w:contextualSpacing/>
        <w:jc w:val="both"/>
      </w:pPr>
      <w:r w:rsidRPr="00DB64F6">
        <w:rPr>
          <w:rFonts w:cs="Arial"/>
          <w:b/>
          <w:sz w:val="24"/>
          <w:szCs w:val="24"/>
        </w:rPr>
        <w:t>Shrnutí SWOT analýzy: zatím nelze dokončit SWOT analýzu neboť nejsou jasné všechny podrobnosti projektu. Tedy půjde-li o finský model, který je v ČR nereálný, nebo budou dodatečně poskytnuty garance státu a půjde o britský model HPC.</w:t>
      </w:r>
      <w:r w:rsidR="00502BF5">
        <w:br w:type="page"/>
      </w:r>
    </w:p>
    <w:p w:rsidR="002172FD" w:rsidRDefault="002172FD" w:rsidP="002172FD">
      <w:pPr>
        <w:pStyle w:val="Nadpis1"/>
        <w:numPr>
          <w:ilvl w:val="0"/>
          <w:numId w:val="0"/>
        </w:numPr>
        <w:spacing w:after="240"/>
        <w:jc w:val="both"/>
      </w:pPr>
      <w:bookmarkStart w:id="333" w:name="_Toc420056066"/>
      <w:r>
        <w:lastRenderedPageBreak/>
        <w:t>Příloha č. 2: Analytická východiska dokumentu</w:t>
      </w:r>
      <w:bookmarkEnd w:id="333"/>
    </w:p>
    <w:tbl>
      <w:tblPr>
        <w:tblStyle w:val="Mkatabulky4"/>
        <w:tblW w:w="5000" w:type="pct"/>
        <w:tblLook w:val="04A0" w:firstRow="1" w:lastRow="0" w:firstColumn="1" w:lastColumn="0" w:noHBand="0" w:noVBand="1"/>
      </w:tblPr>
      <w:tblGrid>
        <w:gridCol w:w="1934"/>
        <w:gridCol w:w="2136"/>
        <w:gridCol w:w="2389"/>
        <w:gridCol w:w="2829"/>
      </w:tblGrid>
      <w:tr w:rsidR="002172FD" w:rsidRPr="00502BF5" w:rsidTr="00215B5A">
        <w:tc>
          <w:tcPr>
            <w:tcW w:w="1041" w:type="pct"/>
            <w:tcBorders>
              <w:top w:val="single" w:sz="12" w:space="0" w:color="auto"/>
              <w:left w:val="single" w:sz="12" w:space="0" w:color="auto"/>
              <w:bottom w:val="single" w:sz="12" w:space="0" w:color="auto"/>
            </w:tcBorders>
            <w:shd w:val="clear" w:color="auto" w:fill="B8CCE4" w:themeFill="accent1" w:themeFillTint="66"/>
            <w:vAlign w:val="center"/>
          </w:tcPr>
          <w:p w:rsidR="002172FD" w:rsidRPr="00502BF5" w:rsidRDefault="002172FD" w:rsidP="00215B5A">
            <w:pPr>
              <w:overflowPunct w:val="0"/>
              <w:autoSpaceDE w:val="0"/>
              <w:autoSpaceDN w:val="0"/>
              <w:adjustRightInd w:val="0"/>
              <w:spacing w:before="120" w:after="120"/>
              <w:jc w:val="center"/>
              <w:textAlignment w:val="baseline"/>
              <w:rPr>
                <w:rFonts w:ascii="Calibri" w:eastAsia="Calibri" w:hAnsi="Calibri"/>
                <w:b/>
              </w:rPr>
            </w:pPr>
            <w:r w:rsidRPr="00502BF5">
              <w:rPr>
                <w:rFonts w:ascii="Calibri" w:eastAsia="Calibri" w:hAnsi="Calibri"/>
                <w:b/>
              </w:rPr>
              <w:t>Druh předpokladu</w:t>
            </w:r>
          </w:p>
        </w:tc>
        <w:tc>
          <w:tcPr>
            <w:tcW w:w="1150" w:type="pct"/>
            <w:tcBorders>
              <w:top w:val="single" w:sz="12" w:space="0" w:color="auto"/>
              <w:bottom w:val="single" w:sz="12" w:space="0" w:color="auto"/>
              <w:right w:val="single" w:sz="4" w:space="0" w:color="A6A6A6" w:themeColor="background1" w:themeShade="A6"/>
            </w:tcBorders>
            <w:shd w:val="clear" w:color="auto" w:fill="B8CCE4" w:themeFill="accent1" w:themeFillTint="66"/>
            <w:vAlign w:val="center"/>
          </w:tcPr>
          <w:p w:rsidR="002172FD" w:rsidRPr="00502BF5" w:rsidRDefault="002172FD" w:rsidP="00215B5A">
            <w:pPr>
              <w:overflowPunct w:val="0"/>
              <w:autoSpaceDE w:val="0"/>
              <w:autoSpaceDN w:val="0"/>
              <w:adjustRightInd w:val="0"/>
              <w:spacing w:before="120" w:after="120"/>
              <w:jc w:val="center"/>
              <w:textAlignment w:val="baseline"/>
              <w:rPr>
                <w:rFonts w:ascii="Calibri" w:eastAsia="Calibri" w:hAnsi="Calibri"/>
                <w:b/>
              </w:rPr>
            </w:pPr>
            <w:r w:rsidRPr="00502BF5">
              <w:rPr>
                <w:rFonts w:ascii="Calibri" w:eastAsia="Calibri" w:hAnsi="Calibri"/>
                <w:b/>
              </w:rPr>
              <w:t>Konkrétní předpoklad</w:t>
            </w:r>
          </w:p>
        </w:tc>
        <w:tc>
          <w:tcPr>
            <w:tcW w:w="1286" w:type="pct"/>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B8CCE4" w:themeFill="accent1" w:themeFillTint="66"/>
            <w:vAlign w:val="center"/>
          </w:tcPr>
          <w:p w:rsidR="002172FD" w:rsidRPr="00502BF5" w:rsidRDefault="002172FD" w:rsidP="00215B5A">
            <w:pPr>
              <w:overflowPunct w:val="0"/>
              <w:autoSpaceDE w:val="0"/>
              <w:autoSpaceDN w:val="0"/>
              <w:adjustRightInd w:val="0"/>
              <w:spacing w:before="120" w:after="120"/>
              <w:jc w:val="center"/>
              <w:textAlignment w:val="baseline"/>
              <w:rPr>
                <w:rFonts w:ascii="Calibri" w:eastAsia="Calibri" w:hAnsi="Calibri"/>
                <w:b/>
              </w:rPr>
            </w:pPr>
            <w:r w:rsidRPr="00502BF5">
              <w:rPr>
                <w:rFonts w:ascii="Calibri" w:eastAsia="Calibri" w:hAnsi="Calibri"/>
                <w:b/>
              </w:rPr>
              <w:t>Kvantifikace</w:t>
            </w:r>
          </w:p>
        </w:tc>
        <w:tc>
          <w:tcPr>
            <w:tcW w:w="1523" w:type="pct"/>
            <w:tcBorders>
              <w:top w:val="single" w:sz="12" w:space="0" w:color="auto"/>
              <w:left w:val="single" w:sz="4" w:space="0" w:color="A6A6A6" w:themeColor="background1" w:themeShade="A6"/>
              <w:bottom w:val="single" w:sz="12" w:space="0" w:color="auto"/>
              <w:right w:val="single" w:sz="12" w:space="0" w:color="auto"/>
            </w:tcBorders>
            <w:shd w:val="clear" w:color="auto" w:fill="B8CCE4" w:themeFill="accent1" w:themeFillTint="66"/>
            <w:vAlign w:val="center"/>
          </w:tcPr>
          <w:p w:rsidR="002172FD" w:rsidRPr="00502BF5" w:rsidRDefault="002172FD" w:rsidP="00215B5A">
            <w:pPr>
              <w:overflowPunct w:val="0"/>
              <w:autoSpaceDE w:val="0"/>
              <w:autoSpaceDN w:val="0"/>
              <w:adjustRightInd w:val="0"/>
              <w:spacing w:before="120" w:after="120"/>
              <w:jc w:val="center"/>
              <w:textAlignment w:val="baseline"/>
              <w:rPr>
                <w:rFonts w:ascii="Calibri" w:eastAsia="Calibri" w:hAnsi="Calibri"/>
                <w:b/>
              </w:rPr>
            </w:pPr>
            <w:r w:rsidRPr="00502BF5">
              <w:rPr>
                <w:rFonts w:ascii="Calibri" w:eastAsia="Calibri" w:hAnsi="Calibri"/>
                <w:b/>
              </w:rPr>
              <w:t>Zdroj</w:t>
            </w:r>
          </w:p>
        </w:tc>
      </w:tr>
      <w:tr w:rsidR="002172FD" w:rsidRPr="00502BF5" w:rsidTr="00215B5A">
        <w:tc>
          <w:tcPr>
            <w:tcW w:w="1041" w:type="pct"/>
            <w:vMerge w:val="restart"/>
            <w:tcBorders>
              <w:top w:val="single" w:sz="12" w:space="0" w:color="auto"/>
              <w:left w:val="single" w:sz="12" w:space="0" w:color="auto"/>
            </w:tcBorders>
            <w:shd w:val="clear" w:color="auto" w:fill="B8CCE4" w:themeFill="accent1" w:themeFillTint="66"/>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b/>
              </w:rPr>
              <w:t>Technické předpoklady</w:t>
            </w:r>
          </w:p>
        </w:tc>
        <w:tc>
          <w:tcPr>
            <w:tcW w:w="1150" w:type="pct"/>
            <w:tcBorders>
              <w:top w:val="single" w:sz="12" w:space="0" w:color="auto"/>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Instalovaná kapacita</w:t>
            </w:r>
          </w:p>
        </w:tc>
        <w:tc>
          <w:tcPr>
            <w:tcW w:w="1286" w:type="pct"/>
            <w:tcBorders>
              <w:top w:val="single" w:sz="12" w:space="0" w:color="auto"/>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1 200 MW</w:t>
            </w:r>
          </w:p>
        </w:tc>
        <w:tc>
          <w:tcPr>
            <w:tcW w:w="1523" w:type="pct"/>
            <w:tcBorders>
              <w:top w:val="single" w:sz="12" w:space="0" w:color="auto"/>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Ilustrativní příklad, jeden z typového výkonu pro GEN III+</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Disponibilita</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lang w:val="ru-RU"/>
              </w:rPr>
            </w:pPr>
            <w:r w:rsidRPr="00502BF5">
              <w:rPr>
                <w:rFonts w:ascii="Calibri" w:eastAsia="Calibri" w:hAnsi="Calibri"/>
              </w:rPr>
              <w:t>92</w:t>
            </w:r>
            <w:r>
              <w:rPr>
                <w:rFonts w:ascii="Calibri" w:eastAsia="Calibri" w:hAnsi="Calibri"/>
              </w:rPr>
              <w:t xml:space="preserve"> </w:t>
            </w:r>
            <w:r w:rsidRPr="00502BF5">
              <w:rPr>
                <w:rFonts w:ascii="Calibri" w:eastAsia="Calibri" w:hAnsi="Calibri"/>
                <w:lang w:val="en-US"/>
              </w:rPr>
              <w:t>%</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Expertní odhad na základě informací od dodavatelů</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Počet hodin za rok</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8 059 hodin/rok</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lang w:val="en-US"/>
              </w:rPr>
            </w:pPr>
            <w:r w:rsidRPr="00502BF5">
              <w:rPr>
                <w:rFonts w:ascii="Calibri" w:eastAsia="Calibri" w:hAnsi="Calibri"/>
              </w:rPr>
              <w:t>92</w:t>
            </w:r>
            <w:r w:rsidRPr="00502BF5">
              <w:rPr>
                <w:rFonts w:ascii="Calibri" w:eastAsia="Calibri" w:hAnsi="Calibri"/>
                <w:lang w:val="en-US"/>
              </w:rPr>
              <w:t xml:space="preserve">% z 8760 </w:t>
            </w:r>
            <w:proofErr w:type="spellStart"/>
            <w:r w:rsidRPr="00502BF5">
              <w:rPr>
                <w:rFonts w:ascii="Calibri" w:eastAsia="Calibri" w:hAnsi="Calibri"/>
                <w:lang w:val="en-US"/>
              </w:rPr>
              <w:t>hodin</w:t>
            </w:r>
            <w:proofErr w:type="spellEnd"/>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tcBorders>
              <w:top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Výroba</w:t>
            </w:r>
          </w:p>
        </w:tc>
        <w:tc>
          <w:tcPr>
            <w:tcW w:w="1286" w:type="pct"/>
            <w:tcBorders>
              <w:top w:val="dotted" w:sz="4" w:space="0" w:color="A6A6A6" w:themeColor="background1" w:themeShade="A6"/>
              <w:left w:val="single"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 xml:space="preserve">9,67 </w:t>
            </w:r>
            <w:proofErr w:type="spellStart"/>
            <w:r w:rsidRPr="00502BF5">
              <w:rPr>
                <w:rFonts w:ascii="Calibri" w:eastAsia="Calibri" w:hAnsi="Calibri"/>
              </w:rPr>
              <w:t>TWh</w:t>
            </w:r>
            <w:proofErr w:type="spellEnd"/>
            <w:r w:rsidRPr="00502BF5">
              <w:rPr>
                <w:rFonts w:ascii="Calibri" w:eastAsia="Calibri" w:hAnsi="Calibri"/>
              </w:rPr>
              <w:t>/rok</w:t>
            </w:r>
          </w:p>
        </w:tc>
        <w:tc>
          <w:tcPr>
            <w:tcW w:w="1523" w:type="pct"/>
            <w:tcBorders>
              <w:top w:val="dotted" w:sz="4" w:space="0" w:color="A6A6A6" w:themeColor="background1" w:themeShade="A6"/>
              <w:left w:val="single"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1200</w:t>
            </w:r>
            <w:r>
              <w:rPr>
                <w:rFonts w:ascii="Calibri" w:eastAsia="Calibri" w:hAnsi="Calibri"/>
              </w:rPr>
              <w:t xml:space="preserve"> </w:t>
            </w:r>
            <w:r w:rsidRPr="00502BF5">
              <w:rPr>
                <w:rFonts w:ascii="Calibri" w:eastAsia="Calibri" w:hAnsi="Calibri"/>
              </w:rPr>
              <w:t>MW *8059 h/r</w:t>
            </w:r>
          </w:p>
        </w:tc>
      </w:tr>
      <w:tr w:rsidR="002172FD" w:rsidRPr="00502BF5" w:rsidTr="00215B5A">
        <w:tc>
          <w:tcPr>
            <w:tcW w:w="1041" w:type="pct"/>
            <w:vMerge w:val="restart"/>
            <w:tcBorders>
              <w:left w:val="single" w:sz="12" w:space="0" w:color="auto"/>
            </w:tcBorders>
            <w:shd w:val="clear" w:color="auto" w:fill="B8CCE4" w:themeFill="accent1" w:themeFillTint="66"/>
            <w:vAlign w:val="center"/>
          </w:tcPr>
          <w:p w:rsidR="002172FD" w:rsidRPr="00502BF5" w:rsidRDefault="002172FD" w:rsidP="002172FD">
            <w:pPr>
              <w:overflowPunct w:val="0"/>
              <w:autoSpaceDE w:val="0"/>
              <w:autoSpaceDN w:val="0"/>
              <w:adjustRightInd w:val="0"/>
              <w:textAlignment w:val="baseline"/>
              <w:rPr>
                <w:rFonts w:ascii="Calibri" w:eastAsia="Calibri" w:hAnsi="Calibri"/>
                <w:b/>
              </w:rPr>
            </w:pPr>
            <w:r w:rsidRPr="00502BF5">
              <w:rPr>
                <w:rFonts w:ascii="Calibri" w:eastAsia="Calibri" w:hAnsi="Calibri"/>
                <w:b/>
              </w:rPr>
              <w:t>Ekonomické předpoklady</w:t>
            </w:r>
          </w:p>
        </w:tc>
        <w:tc>
          <w:tcPr>
            <w:tcW w:w="1150" w:type="pct"/>
            <w:tcBorders>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Měrný CAPEX</w:t>
            </w:r>
          </w:p>
        </w:tc>
        <w:tc>
          <w:tcPr>
            <w:tcW w:w="1286" w:type="pct"/>
            <w:tcBorders>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4500 EUR/kW</w:t>
            </w:r>
          </w:p>
        </w:tc>
        <w:tc>
          <w:tcPr>
            <w:tcW w:w="1523" w:type="pct"/>
            <w:tcBorders>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Předpoklad nákladů na základě studie pro EK (upraveno na ceny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vMerge w:val="restart"/>
            <w:tcBorders>
              <w:top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3A5D57">
              <w:rPr>
                <w:rFonts w:ascii="Calibri" w:eastAsia="Calibri" w:hAnsi="Calibri"/>
              </w:rPr>
              <w:t>Celkový CAPEX</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5 400 mil.</w:t>
            </w:r>
            <w:r>
              <w:rPr>
                <w:rFonts w:ascii="Calibri" w:eastAsia="Calibri" w:hAnsi="Calibri"/>
              </w:rPr>
              <w:t xml:space="preserve"> </w:t>
            </w:r>
            <w:r w:rsidRPr="00502BF5">
              <w:rPr>
                <w:rFonts w:ascii="Calibri" w:eastAsia="Calibri" w:hAnsi="Calibri"/>
              </w:rPr>
              <w:t>EUR</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4500 EUR/kW * 1200 MW</w:t>
            </w:r>
          </w:p>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 cenách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vMerge/>
            <w:tcBorders>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145,8 mil.</w:t>
            </w:r>
            <w:r>
              <w:rPr>
                <w:rFonts w:ascii="Calibri" w:eastAsia="Calibri" w:hAnsi="Calibri"/>
              </w:rPr>
              <w:t xml:space="preserve"> </w:t>
            </w:r>
            <w:r w:rsidRPr="00502BF5">
              <w:rPr>
                <w:rFonts w:ascii="Calibri" w:eastAsia="Calibri" w:hAnsi="Calibri"/>
              </w:rPr>
              <w:t>CZK</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5 400 mil.</w:t>
            </w:r>
            <w:r>
              <w:rPr>
                <w:rFonts w:ascii="Calibri" w:eastAsia="Calibri" w:hAnsi="Calibri"/>
              </w:rPr>
              <w:t xml:space="preserve"> </w:t>
            </w:r>
            <w:r w:rsidRPr="00502BF5">
              <w:rPr>
                <w:rFonts w:ascii="Calibri" w:eastAsia="Calibri" w:hAnsi="Calibri"/>
              </w:rPr>
              <w:t>EUR při 27 CZK/EUR</w:t>
            </w:r>
          </w:p>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 cenách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Měrný OPEX</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25 EUR/</w:t>
            </w:r>
            <w:proofErr w:type="spellStart"/>
            <w:r w:rsidRPr="00502BF5">
              <w:rPr>
                <w:rFonts w:ascii="Calibri" w:eastAsia="Calibri" w:hAnsi="Calibri"/>
              </w:rPr>
              <w:t>MWh</w:t>
            </w:r>
            <w:proofErr w:type="spellEnd"/>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Expertní odhad na základě informací od dodavatelů</w:t>
            </w:r>
          </w:p>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 cenách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vMerge w:val="restart"/>
            <w:tcBorders>
              <w:top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Celkový OPEX</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247,75 mil.</w:t>
            </w:r>
            <w:r>
              <w:rPr>
                <w:rFonts w:ascii="Calibri" w:eastAsia="Calibri" w:hAnsi="Calibri"/>
              </w:rPr>
              <w:t xml:space="preserve"> </w:t>
            </w:r>
            <w:r w:rsidRPr="00502BF5">
              <w:rPr>
                <w:rFonts w:ascii="Calibri" w:eastAsia="Calibri" w:hAnsi="Calibri"/>
              </w:rPr>
              <w:t>EUR/rok</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25 EUR/</w:t>
            </w:r>
            <w:proofErr w:type="spellStart"/>
            <w:r w:rsidRPr="00502BF5">
              <w:rPr>
                <w:rFonts w:ascii="Calibri" w:eastAsia="Calibri" w:hAnsi="Calibri"/>
              </w:rPr>
              <w:t>MWh</w:t>
            </w:r>
            <w:proofErr w:type="spellEnd"/>
            <w:r w:rsidRPr="00502BF5">
              <w:rPr>
                <w:rFonts w:ascii="Calibri" w:eastAsia="Calibri" w:hAnsi="Calibri"/>
              </w:rPr>
              <w:t xml:space="preserve"> * 9,67 </w:t>
            </w:r>
            <w:proofErr w:type="spellStart"/>
            <w:r w:rsidRPr="00502BF5">
              <w:rPr>
                <w:rFonts w:ascii="Calibri" w:eastAsia="Calibri" w:hAnsi="Calibri"/>
              </w:rPr>
              <w:t>TWh</w:t>
            </w:r>
            <w:proofErr w:type="spellEnd"/>
            <w:r w:rsidRPr="00502BF5">
              <w:rPr>
                <w:rFonts w:ascii="Calibri" w:eastAsia="Calibri" w:hAnsi="Calibri"/>
              </w:rPr>
              <w:t>/rok</w:t>
            </w:r>
          </w:p>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 cenách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vMerge/>
            <w:tcBorders>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6,69 mld.</w:t>
            </w:r>
            <w:r>
              <w:rPr>
                <w:rFonts w:ascii="Calibri" w:eastAsia="Calibri" w:hAnsi="Calibri"/>
              </w:rPr>
              <w:t xml:space="preserve"> </w:t>
            </w:r>
            <w:r w:rsidRPr="00502BF5">
              <w:rPr>
                <w:rFonts w:ascii="Calibri" w:eastAsia="Calibri" w:hAnsi="Calibri"/>
              </w:rPr>
              <w:t>CZK/rok</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27 EUR/CZK * 247,75 mil.</w:t>
            </w:r>
            <w:r>
              <w:rPr>
                <w:rFonts w:ascii="Calibri" w:eastAsia="Calibri" w:hAnsi="Calibri"/>
              </w:rPr>
              <w:t xml:space="preserve"> </w:t>
            </w:r>
            <w:r w:rsidRPr="00502BF5">
              <w:rPr>
                <w:rFonts w:ascii="Calibri" w:eastAsia="Calibri" w:hAnsi="Calibri"/>
              </w:rPr>
              <w:t>EUR/rok</w:t>
            </w:r>
          </w:p>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(v cenách roku 2015)</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Náklady na vyřazování</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Zahrnuto v </w:t>
            </w:r>
            <w:proofErr w:type="spellStart"/>
            <w:r w:rsidRPr="00502BF5">
              <w:rPr>
                <w:rFonts w:ascii="Calibri" w:eastAsia="Calibri" w:hAnsi="Calibri"/>
              </w:rPr>
              <w:t>OPEXech</w:t>
            </w:r>
            <w:proofErr w:type="spellEnd"/>
            <w:r w:rsidRPr="00502BF5">
              <w:rPr>
                <w:rFonts w:ascii="Calibri" w:eastAsia="Calibri" w:hAnsi="Calibri"/>
              </w:rPr>
              <w:t xml:space="preserve"> po dobu životnosti zdroje</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 xml:space="preserve">Expertní odhad </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b/>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Odpisy</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Dle aktuální legislativy</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Silová elektřina</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35-99 EUR/</w:t>
            </w:r>
            <w:proofErr w:type="spellStart"/>
            <w:r w:rsidRPr="00502BF5">
              <w:rPr>
                <w:rFonts w:ascii="Calibri" w:eastAsia="Calibri" w:hAnsi="Calibri"/>
              </w:rPr>
              <w:t>MWh</w:t>
            </w:r>
            <w:proofErr w:type="spellEnd"/>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 xml:space="preserve">Dle scénáře </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proofErr w:type="spellStart"/>
            <w:r w:rsidRPr="00502BF5">
              <w:rPr>
                <w:rFonts w:ascii="Calibri" w:eastAsia="Calibri" w:hAnsi="Calibri"/>
              </w:rPr>
              <w:t>CfD</w:t>
            </w:r>
            <w:proofErr w:type="spellEnd"/>
            <w:r w:rsidRPr="00502BF5">
              <w:rPr>
                <w:rFonts w:ascii="Calibri" w:eastAsia="Calibri" w:hAnsi="Calibri"/>
              </w:rPr>
              <w:t xml:space="preserve"> </w:t>
            </w:r>
          </w:p>
        </w:tc>
        <w:tc>
          <w:tcPr>
            <w:tcW w:w="1286" w:type="pct"/>
            <w:tcBorders>
              <w:top w:val="dotted" w:sz="4" w:space="0" w:color="A6A6A6" w:themeColor="background1" w:themeShade="A6"/>
              <w:left w:val="single"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EUR/</w:t>
            </w:r>
            <w:proofErr w:type="spellStart"/>
            <w:r w:rsidRPr="00502BF5">
              <w:rPr>
                <w:rFonts w:ascii="Calibri" w:eastAsia="Calibri" w:hAnsi="Calibri"/>
              </w:rPr>
              <w:t>MWh</w:t>
            </w:r>
            <w:proofErr w:type="spellEnd"/>
          </w:p>
        </w:tc>
        <w:tc>
          <w:tcPr>
            <w:tcW w:w="1523" w:type="pct"/>
            <w:tcBorders>
              <w:top w:val="dotted" w:sz="4" w:space="0" w:color="A6A6A6" w:themeColor="background1" w:themeShade="A6"/>
              <w:left w:val="single"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Je výstupem výpočtu</w:t>
            </w:r>
          </w:p>
        </w:tc>
      </w:tr>
      <w:tr w:rsidR="002172FD" w:rsidRPr="00502BF5" w:rsidTr="00215B5A">
        <w:tc>
          <w:tcPr>
            <w:tcW w:w="1041" w:type="pct"/>
            <w:vMerge w:val="restart"/>
            <w:tcBorders>
              <w:left w:val="single" w:sz="12" w:space="0" w:color="auto"/>
            </w:tcBorders>
            <w:shd w:val="clear" w:color="auto" w:fill="B8CCE4" w:themeFill="accent1" w:themeFillTint="66"/>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b/>
              </w:rPr>
              <w:t>Makroekonomické předpoklady</w:t>
            </w:r>
          </w:p>
        </w:tc>
        <w:tc>
          <w:tcPr>
            <w:tcW w:w="1150" w:type="pct"/>
            <w:tcBorders>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Daň</w:t>
            </w:r>
          </w:p>
        </w:tc>
        <w:tc>
          <w:tcPr>
            <w:tcW w:w="1286" w:type="pct"/>
            <w:tcBorders>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Pr>
                <w:rFonts w:ascii="Calibri" w:eastAsia="Calibri" w:hAnsi="Calibri"/>
              </w:rPr>
              <w:t xml:space="preserve">15 %, </w:t>
            </w:r>
            <w:r w:rsidRPr="00502BF5">
              <w:rPr>
                <w:rFonts w:ascii="Calibri" w:eastAsia="Calibri" w:hAnsi="Calibri"/>
              </w:rPr>
              <w:t>19</w:t>
            </w:r>
            <w:r>
              <w:rPr>
                <w:rFonts w:ascii="Calibri" w:eastAsia="Calibri" w:hAnsi="Calibri"/>
              </w:rPr>
              <w:t xml:space="preserve"> </w:t>
            </w:r>
            <w:r w:rsidRPr="00502BF5">
              <w:rPr>
                <w:rFonts w:ascii="Calibri" w:eastAsia="Calibri" w:hAnsi="Calibri"/>
              </w:rPr>
              <w:t>%</w:t>
            </w:r>
          </w:p>
        </w:tc>
        <w:tc>
          <w:tcPr>
            <w:tcW w:w="1523" w:type="pct"/>
            <w:tcBorders>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Dle aktuální legislativy</w:t>
            </w:r>
          </w:p>
        </w:tc>
      </w:tr>
      <w:tr w:rsidR="002172FD" w:rsidRPr="00502BF5" w:rsidTr="00215B5A">
        <w:tc>
          <w:tcPr>
            <w:tcW w:w="1041" w:type="pct"/>
            <w:vMerge/>
            <w:tcBorders>
              <w:left w:val="single" w:sz="12"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WACC (nominálně)</w:t>
            </w:r>
          </w:p>
        </w:tc>
        <w:tc>
          <w:tcPr>
            <w:tcW w:w="1286"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4</w:t>
            </w:r>
            <w:r>
              <w:rPr>
                <w:rFonts w:ascii="Calibri" w:eastAsia="Calibri" w:hAnsi="Calibri"/>
              </w:rPr>
              <w:t xml:space="preserve"> </w:t>
            </w:r>
            <w:r w:rsidRPr="00502BF5">
              <w:rPr>
                <w:rFonts w:ascii="Calibri" w:eastAsia="Calibri" w:hAnsi="Calibri"/>
                <w:lang w:val="en-US"/>
              </w:rPr>
              <w:t xml:space="preserve">% </w:t>
            </w:r>
            <w:proofErr w:type="spellStart"/>
            <w:r w:rsidRPr="00502BF5">
              <w:rPr>
                <w:rFonts w:ascii="Calibri" w:eastAsia="Calibri" w:hAnsi="Calibri"/>
                <w:lang w:val="en-US"/>
              </w:rPr>
              <w:t>až</w:t>
            </w:r>
            <w:proofErr w:type="spellEnd"/>
            <w:r w:rsidRPr="00502BF5">
              <w:rPr>
                <w:rFonts w:ascii="Calibri" w:eastAsia="Calibri" w:hAnsi="Calibri"/>
                <w:lang w:val="en-US"/>
              </w:rPr>
              <w:t xml:space="preserve"> </w:t>
            </w:r>
            <w:r w:rsidRPr="00502BF5">
              <w:rPr>
                <w:rFonts w:ascii="Calibri" w:eastAsia="Calibri" w:hAnsi="Calibri"/>
              </w:rPr>
              <w:t>9,0</w:t>
            </w:r>
            <w:r>
              <w:rPr>
                <w:rFonts w:ascii="Calibri" w:eastAsia="Calibri" w:hAnsi="Calibri"/>
              </w:rPr>
              <w:t xml:space="preserve"> </w:t>
            </w:r>
            <w:r w:rsidRPr="00502BF5">
              <w:rPr>
                <w:rFonts w:ascii="Calibri" w:eastAsia="Calibri" w:hAnsi="Calibri"/>
              </w:rPr>
              <w:t>%</w:t>
            </w:r>
          </w:p>
        </w:tc>
        <w:tc>
          <w:tcPr>
            <w:tcW w:w="1523" w:type="pct"/>
            <w:tcBorders>
              <w:top w:val="dotted" w:sz="4" w:space="0" w:color="A6A6A6" w:themeColor="background1" w:themeShade="A6"/>
              <w:left w:val="single" w:sz="4" w:space="0" w:color="A6A6A6" w:themeColor="background1" w:themeShade="A6"/>
              <w:bottom w:val="dotted" w:sz="4" w:space="0" w:color="A6A6A6" w:themeColor="background1" w:themeShade="A6"/>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Dle scénáře</w:t>
            </w:r>
          </w:p>
        </w:tc>
      </w:tr>
      <w:tr w:rsidR="002172FD" w:rsidRPr="00502BF5" w:rsidTr="00215B5A">
        <w:tc>
          <w:tcPr>
            <w:tcW w:w="1041" w:type="pct"/>
            <w:vMerge/>
            <w:tcBorders>
              <w:left w:val="single" w:sz="12" w:space="0" w:color="auto"/>
              <w:bottom w:val="thinThickSmallGap" w:sz="24" w:space="0" w:color="auto"/>
            </w:tcBorders>
            <w:shd w:val="clear" w:color="auto" w:fill="B8CCE4" w:themeFill="accent1" w:themeFillTint="66"/>
          </w:tcPr>
          <w:p w:rsidR="002172FD" w:rsidRPr="00502BF5" w:rsidRDefault="002172FD" w:rsidP="002172FD">
            <w:pPr>
              <w:overflowPunct w:val="0"/>
              <w:autoSpaceDE w:val="0"/>
              <w:autoSpaceDN w:val="0"/>
              <w:adjustRightInd w:val="0"/>
              <w:textAlignment w:val="baseline"/>
              <w:rPr>
                <w:rFonts w:ascii="Calibri" w:eastAsia="Calibri" w:hAnsi="Calibri"/>
              </w:rPr>
            </w:pPr>
          </w:p>
        </w:tc>
        <w:tc>
          <w:tcPr>
            <w:tcW w:w="1150" w:type="pct"/>
            <w:tcBorders>
              <w:top w:val="dotted" w:sz="4" w:space="0" w:color="A6A6A6" w:themeColor="background1" w:themeShade="A6"/>
              <w:bottom w:val="thinThickSmallGap" w:sz="24" w:space="0" w:color="auto"/>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Směnný kurz CZK/EUR</w:t>
            </w:r>
          </w:p>
        </w:tc>
        <w:tc>
          <w:tcPr>
            <w:tcW w:w="1286" w:type="pct"/>
            <w:tcBorders>
              <w:top w:val="dotted" w:sz="4" w:space="0" w:color="A6A6A6" w:themeColor="background1" w:themeShade="A6"/>
              <w:left w:val="single" w:sz="4" w:space="0" w:color="A6A6A6" w:themeColor="background1" w:themeShade="A6"/>
              <w:bottom w:val="thinThickSmallGap" w:sz="24" w:space="0" w:color="auto"/>
              <w:right w:val="single" w:sz="4" w:space="0" w:color="A6A6A6" w:themeColor="background1" w:themeShade="A6"/>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27</w:t>
            </w:r>
          </w:p>
        </w:tc>
        <w:tc>
          <w:tcPr>
            <w:tcW w:w="1523" w:type="pct"/>
            <w:tcBorders>
              <w:top w:val="dotted" w:sz="4" w:space="0" w:color="A6A6A6" w:themeColor="background1" w:themeShade="A6"/>
              <w:left w:val="single" w:sz="4" w:space="0" w:color="A6A6A6" w:themeColor="background1" w:themeShade="A6"/>
              <w:bottom w:val="thinThickSmallGap" w:sz="24" w:space="0" w:color="auto"/>
              <w:right w:val="single" w:sz="12" w:space="0" w:color="auto"/>
            </w:tcBorders>
            <w:vAlign w:val="center"/>
          </w:tcPr>
          <w:p w:rsidR="002172FD" w:rsidRPr="00502BF5" w:rsidRDefault="002172FD" w:rsidP="002172FD">
            <w:pPr>
              <w:overflowPunct w:val="0"/>
              <w:autoSpaceDE w:val="0"/>
              <w:autoSpaceDN w:val="0"/>
              <w:adjustRightInd w:val="0"/>
              <w:textAlignment w:val="baseline"/>
              <w:rPr>
                <w:rFonts w:ascii="Calibri" w:eastAsia="Calibri" w:hAnsi="Calibri"/>
              </w:rPr>
            </w:pPr>
            <w:r w:rsidRPr="00502BF5">
              <w:rPr>
                <w:rFonts w:ascii="Calibri" w:eastAsia="Calibri" w:hAnsi="Calibri"/>
              </w:rPr>
              <w:t>Expertní odhad</w:t>
            </w:r>
          </w:p>
        </w:tc>
      </w:tr>
    </w:tbl>
    <w:p w:rsidR="002172FD" w:rsidRDefault="002172FD" w:rsidP="002172FD">
      <w:pPr>
        <w:spacing w:before="240"/>
        <w:jc w:val="both"/>
      </w:pPr>
      <w:r>
        <w:t>Pozn.: Pro výpočet dopadů na zákazníka či na státní rozpočet byly použity údaje pro výkon 1200 MW. Pro vyčíslení dopadů pro jiný instalovaný výkon či vyšší počet bloků je ilustrativně možné dopady na zákazníka či státní rozpočet násobit poměrným navýšením kapacity.</w:t>
      </w:r>
    </w:p>
    <w:p w:rsidR="002172FD" w:rsidRDefault="002172FD" w:rsidP="002172FD">
      <w:r>
        <w:br w:type="page"/>
      </w:r>
    </w:p>
    <w:p w:rsidR="002172FD" w:rsidRPr="004F18FC" w:rsidRDefault="002172FD" w:rsidP="004F18FC">
      <w:pPr>
        <w:rPr>
          <w:b/>
        </w:rPr>
      </w:pPr>
      <w:bookmarkStart w:id="334" w:name="_Ref395107314"/>
      <w:bookmarkStart w:id="335" w:name="_Toc402874232"/>
      <w:bookmarkStart w:id="336" w:name="_Toc402874589"/>
      <w:bookmarkStart w:id="337" w:name="_Toc402938562"/>
      <w:bookmarkStart w:id="338" w:name="_Toc405898315"/>
      <w:r w:rsidRPr="004F18FC">
        <w:rPr>
          <w:b/>
        </w:rPr>
        <w:lastRenderedPageBreak/>
        <w:t>Předpoklad</w:t>
      </w:r>
      <w:bookmarkEnd w:id="334"/>
      <w:bookmarkEnd w:id="335"/>
      <w:bookmarkEnd w:id="336"/>
      <w:bookmarkEnd w:id="337"/>
      <w:bookmarkEnd w:id="338"/>
      <w:r w:rsidRPr="004F18FC">
        <w:rPr>
          <w:b/>
        </w:rPr>
        <w:t>y použité při výpočtu předpokládaného referenčního vývoje silové elektřiny</w:t>
      </w:r>
    </w:p>
    <w:p w:rsidR="002172FD" w:rsidRPr="00D93E22" w:rsidRDefault="002172FD" w:rsidP="002172FD">
      <w:pPr>
        <w:spacing w:after="120"/>
        <w:jc w:val="both"/>
      </w:pPr>
      <w:r w:rsidRPr="00D93E22">
        <w:t>Pro modelování ceny silové elektrické energie je klíčová řada předpokladů, především:</w:t>
      </w:r>
    </w:p>
    <w:p w:rsidR="002172FD" w:rsidRPr="003F0C96" w:rsidRDefault="002172FD" w:rsidP="002172FD">
      <w:pPr>
        <w:pStyle w:val="Odstavecseseznamem"/>
        <w:numPr>
          <w:ilvl w:val="0"/>
          <w:numId w:val="145"/>
        </w:numPr>
        <w:autoSpaceDE w:val="0"/>
        <w:autoSpaceDN w:val="0"/>
        <w:adjustRightInd w:val="0"/>
        <w:spacing w:after="0"/>
        <w:jc w:val="both"/>
      </w:pPr>
      <w:r w:rsidRPr="00D93E22">
        <w:t>předpo</w:t>
      </w:r>
      <w:r w:rsidRPr="003F0C96">
        <w:t>klad vývoje cen fundamentů, tj. cen paliv využívaných pro výrobu elektrické energie (viz kap</w:t>
      </w:r>
      <w:r>
        <w:t xml:space="preserve">itola </w:t>
      </w:r>
      <w:r w:rsidRPr="00502BF5">
        <w:t>č. 3.1.1 - 3.1.4</w:t>
      </w:r>
      <w:r>
        <w:t xml:space="preserve"> materiálu E</w:t>
      </w:r>
      <w:r w:rsidRPr="009403A9">
        <w:t>konomick</w:t>
      </w:r>
      <w:r>
        <w:t>á</w:t>
      </w:r>
      <w:r w:rsidRPr="009403A9">
        <w:t xml:space="preserve"> </w:t>
      </w:r>
      <w:r>
        <w:t xml:space="preserve">analýza </w:t>
      </w:r>
      <w:r w:rsidRPr="009403A9">
        <w:t>návrhu Aktualizace státní energetické koncepce</w:t>
      </w:r>
      <w:r w:rsidRPr="003F0C96">
        <w:t>);</w:t>
      </w:r>
    </w:p>
    <w:p w:rsidR="002172FD" w:rsidRPr="003F0C96" w:rsidRDefault="002172FD" w:rsidP="002172FD">
      <w:pPr>
        <w:pStyle w:val="Odstavecseseznamem"/>
        <w:numPr>
          <w:ilvl w:val="0"/>
          <w:numId w:val="145"/>
        </w:numPr>
        <w:autoSpaceDE w:val="0"/>
        <w:autoSpaceDN w:val="0"/>
        <w:adjustRightInd w:val="0"/>
        <w:spacing w:after="0"/>
        <w:jc w:val="both"/>
      </w:pPr>
      <w:r w:rsidRPr="003F0C96">
        <w:t>předpoklad dalšího vývoje ceny emisní povolenky, respektive ceny uhlíku (viz kap</w:t>
      </w:r>
      <w:r>
        <w:t xml:space="preserve">itola </w:t>
      </w:r>
      <w:r w:rsidRPr="00502BF5">
        <w:t>č. 3.2.3</w:t>
      </w:r>
      <w:r>
        <w:t xml:space="preserve"> materiálu E</w:t>
      </w:r>
      <w:r w:rsidRPr="009403A9">
        <w:t>konomick</w:t>
      </w:r>
      <w:r>
        <w:t>á</w:t>
      </w:r>
      <w:r w:rsidRPr="009403A9">
        <w:t xml:space="preserve"> </w:t>
      </w:r>
      <w:r>
        <w:t xml:space="preserve">analýza </w:t>
      </w:r>
      <w:r w:rsidRPr="009403A9">
        <w:t>návrhu Aktualizace státní energetické koncepce</w:t>
      </w:r>
      <w:r w:rsidRPr="003F0C96">
        <w:t>);</w:t>
      </w:r>
    </w:p>
    <w:p w:rsidR="002172FD" w:rsidRPr="003F0C96" w:rsidRDefault="002172FD" w:rsidP="002172FD">
      <w:pPr>
        <w:pStyle w:val="Odstavecseseznamem"/>
        <w:numPr>
          <w:ilvl w:val="0"/>
          <w:numId w:val="145"/>
        </w:numPr>
        <w:autoSpaceDE w:val="0"/>
        <w:autoSpaceDN w:val="0"/>
        <w:adjustRightInd w:val="0"/>
        <w:spacing w:after="0"/>
        <w:jc w:val="both"/>
      </w:pPr>
      <w:r w:rsidRPr="003F0C96">
        <w:t>předpoklad struktury výrobního mixu v ČR i okolních zemích (viz kap</w:t>
      </w:r>
      <w:r>
        <w:t>itola č.</w:t>
      </w:r>
      <w:r w:rsidRPr="003F0C96">
        <w:t xml:space="preserve"> 5.2.1.</w:t>
      </w:r>
      <w:r>
        <w:t xml:space="preserve"> materiálu E</w:t>
      </w:r>
      <w:r w:rsidRPr="009403A9">
        <w:t>konomick</w:t>
      </w:r>
      <w:r>
        <w:t>á</w:t>
      </w:r>
      <w:r w:rsidRPr="009403A9">
        <w:t xml:space="preserve"> </w:t>
      </w:r>
      <w:r>
        <w:t xml:space="preserve">analýza </w:t>
      </w:r>
      <w:r w:rsidRPr="009403A9">
        <w:t>návrhu Aktualizace státní energetické koncepce</w:t>
      </w:r>
      <w:r w:rsidRPr="003F0C96">
        <w:t>);</w:t>
      </w:r>
    </w:p>
    <w:p w:rsidR="002172FD" w:rsidRPr="003F0C96" w:rsidRDefault="002172FD" w:rsidP="002172FD">
      <w:pPr>
        <w:pStyle w:val="Odstavecseseznamem"/>
        <w:numPr>
          <w:ilvl w:val="0"/>
          <w:numId w:val="145"/>
        </w:numPr>
        <w:autoSpaceDE w:val="0"/>
        <w:autoSpaceDN w:val="0"/>
        <w:adjustRightInd w:val="0"/>
        <w:spacing w:after="240"/>
        <w:ind w:left="714" w:hanging="357"/>
        <w:contextualSpacing w:val="0"/>
        <w:jc w:val="both"/>
      </w:pPr>
      <w:r w:rsidRPr="003F0C96">
        <w:t>předpoklad disponibility přenosových kapacit, tj. případná existence síťových omezení pro přeshraniční obchod s elektrickou energií – zde předpokládáme v modelu ve střednědobém časovém horizontu odstranění úzkých míst v přenosové soustavě v regionu na přeshraničních profilech tak, aby byl umožněný volný obchod s elektrickou energií a plná integrace česko-slovensko-maďarského trhu se západoevropským trhem s elektřinou.</w:t>
      </w:r>
    </w:p>
    <w:p w:rsidR="002172FD" w:rsidRPr="003F0C96" w:rsidRDefault="002172FD" w:rsidP="002172FD">
      <w:pPr>
        <w:jc w:val="both"/>
      </w:pPr>
      <w:r w:rsidRPr="003F0C96">
        <w:t>Predikce vývoje ceny silové elektřiny v kontextu ČR byla kalkulována na úrovni plných (výrobních) nákladů tzv. závěrkové elektrárny. K této fundamentální hodnotě by se měla cena silové elektřiny přibližovat, i když může v přechodných obdobích fluktuovat na základě vývoje ostatních faktorů neovlivňujících přímo závěrkovou cenu. Tuto fundamentální hodnotu (závěrkovou cenu) je v prostředí liberalizovaného trhu s elektřinou nutné stanovit v kontextu celoevropského trhu s detailním vyjádřením nabídkové strany (</w:t>
      </w:r>
      <w:r w:rsidRPr="003F0C96">
        <w:rPr>
          <w:i/>
        </w:rPr>
        <w:t xml:space="preserve">merit </w:t>
      </w:r>
      <w:proofErr w:type="spellStart"/>
      <w:r w:rsidRPr="003F0C96">
        <w:rPr>
          <w:i/>
        </w:rPr>
        <w:t>order</w:t>
      </w:r>
      <w:proofErr w:type="spellEnd"/>
      <w:r w:rsidRPr="003F0C96">
        <w:t xml:space="preserve">), přeshraničních kapacit a jiných tržních omezení. </w:t>
      </w:r>
    </w:p>
    <w:p w:rsidR="002172FD" w:rsidRPr="00D91CF7" w:rsidRDefault="002172FD" w:rsidP="002172FD">
      <w:pPr>
        <w:jc w:val="both"/>
      </w:pPr>
      <w:r w:rsidRPr="003F0C96">
        <w:t>Pro výpočet ceny silové elektřiny v základním zatížení (</w:t>
      </w:r>
      <w:r w:rsidRPr="003F0C96">
        <w:rPr>
          <w:i/>
        </w:rPr>
        <w:t xml:space="preserve">base </w:t>
      </w:r>
      <w:proofErr w:type="spellStart"/>
      <w:r w:rsidRPr="003F0C96">
        <w:rPr>
          <w:i/>
        </w:rPr>
        <w:t>load</w:t>
      </w:r>
      <w:proofErr w:type="spellEnd"/>
      <w:r w:rsidRPr="003F0C96">
        <w:t xml:space="preserve">) v horizontu do roku 2030 byl využit celoevropský tržní model PLEXOS ® </w:t>
      </w:r>
      <w:proofErr w:type="spellStart"/>
      <w:r w:rsidRPr="003F0C96">
        <w:t>Integrated</w:t>
      </w:r>
      <w:proofErr w:type="spellEnd"/>
      <w:r w:rsidRPr="003F0C96">
        <w:t xml:space="preserve"> </w:t>
      </w:r>
      <w:proofErr w:type="spellStart"/>
      <w:r w:rsidRPr="003F0C96">
        <w:t>Energy</w:t>
      </w:r>
      <w:proofErr w:type="spellEnd"/>
      <w:r w:rsidRPr="003F0C96">
        <w:t xml:space="preserve"> Model se vstupními předpoklady uvedenými v tomto dokumentu (především se jedná o ceny klíčových paliv a cenu emisní povolenky, tj. kap</w:t>
      </w:r>
      <w:r>
        <w:t xml:space="preserve">itola </w:t>
      </w:r>
      <w:r w:rsidRPr="00502BF5">
        <w:t>č. 3.1 a 3.2.3.</w:t>
      </w:r>
      <w:r>
        <w:t xml:space="preserve"> materiálu E</w:t>
      </w:r>
      <w:r w:rsidRPr="009403A9">
        <w:t>konomick</w:t>
      </w:r>
      <w:r>
        <w:t>á</w:t>
      </w:r>
      <w:r w:rsidRPr="009403A9">
        <w:t xml:space="preserve"> </w:t>
      </w:r>
      <w:r>
        <w:t xml:space="preserve">analýza </w:t>
      </w:r>
      <w:r w:rsidRPr="009403A9">
        <w:t>návrhu Aktualizace státní energetické koncepce</w:t>
      </w:r>
      <w:r>
        <w:t xml:space="preserve"> + v tabulkách uvedených níže</w:t>
      </w:r>
      <w:r w:rsidRPr="003F0C96">
        <w:t>). Model v sobě zahrnuje výrobní portfolio elektráren v celé Evropě, včetně detailní charakteristiky jejich výrobních nákladů a případných síťových omezení. V horizontu 2015-2030 pak byla cena silové elektřiny vypočtena variantně v souladu s variantními scénáři ceny EUA (kap</w:t>
      </w:r>
      <w:r>
        <w:t xml:space="preserve">itola </w:t>
      </w:r>
      <w:r w:rsidRPr="00502BF5">
        <w:t>č. 3.2.3</w:t>
      </w:r>
      <w:r>
        <w:t xml:space="preserve"> materiálu E</w:t>
      </w:r>
      <w:r w:rsidRPr="009403A9">
        <w:t>konomick</w:t>
      </w:r>
      <w:r>
        <w:t>á</w:t>
      </w:r>
      <w:r w:rsidRPr="009403A9">
        <w:t xml:space="preserve"> </w:t>
      </w:r>
      <w:r>
        <w:t xml:space="preserve">analýza </w:t>
      </w:r>
      <w:r w:rsidRPr="009403A9">
        <w:t>návrhu Aktualizace státní energetické koncepce</w:t>
      </w:r>
      <w:r w:rsidRPr="003F0C96">
        <w:t>), přičemž klíčový pro ostatní kalkulace v této zprávě je právě referenční scénář vývoje EUA (tj. se zavedením strategické rezervy).</w:t>
      </w:r>
      <w:r w:rsidRPr="00D91CF7">
        <w:t xml:space="preserve"> </w:t>
      </w:r>
    </w:p>
    <w:p w:rsidR="002172FD" w:rsidRPr="00D91CF7" w:rsidRDefault="002172FD" w:rsidP="002172FD">
      <w:pPr>
        <w:jc w:val="both"/>
      </w:pPr>
      <w:r w:rsidRPr="00D91CF7">
        <w:t>V horizontu let 2030 - 2040 již panuje významná nejistota ohledně budoucích hodnot relevantních vstupních parametrů, detailních údajů o výrobním mixu</w:t>
      </w:r>
      <w:r>
        <w:t xml:space="preserve"> v Evropě</w:t>
      </w:r>
      <w:r w:rsidRPr="00D91CF7">
        <w:t xml:space="preserve"> i cenách fundamentů i</w:t>
      </w:r>
      <w:r>
        <w:t> </w:t>
      </w:r>
      <w:r w:rsidRPr="00D91CF7">
        <w:t xml:space="preserve">uhlíku, která činí modelování ceny silové elektřiny významně problematickým. V tomto horizontu byla tedy predikce vývoje ceny silové elektřiny zpracována - bez využití modelu PLEXOS ® </w:t>
      </w:r>
      <w:proofErr w:type="spellStart"/>
      <w:r w:rsidRPr="00D91CF7">
        <w:t>Integrated</w:t>
      </w:r>
      <w:proofErr w:type="spellEnd"/>
      <w:r w:rsidRPr="00D91CF7">
        <w:t xml:space="preserve"> </w:t>
      </w:r>
      <w:proofErr w:type="spellStart"/>
      <w:r w:rsidRPr="00D91CF7">
        <w:t>Energy</w:t>
      </w:r>
      <w:proofErr w:type="spellEnd"/>
      <w:r w:rsidRPr="00D91CF7">
        <w:t xml:space="preserve"> Model - na základě interní analýzy MPO v souladu s metodikou závěrkové elektrárny, a to pouze pro referenční scénář vývoje ceny povolenky. Základním předpokladem modelu je potřeba obnovy výrobního portfolia a tím i konvergence ceny silové elektřiny směrem k plným výrobním</w:t>
      </w:r>
      <w:r>
        <w:t xml:space="preserve"> nákladům závěrkové elektrárny.</w:t>
      </w:r>
      <w:r w:rsidRPr="00D91CF7">
        <w:t xml:space="preserve"> Tato analýza má stále predikční schopnost, je však důležité zdůraznit vyšší míru volatility spojenou s vývojem vstupních parametrů. V souladu s cenou emisní povolenky je kvantifikovaná cena silové elektřiny uvedena ve stálých (reálných) cenách roku 2013 a tedy bez zohlednění inflace.</w:t>
      </w:r>
    </w:p>
    <w:p w:rsidR="002172FD" w:rsidRPr="00502BF5" w:rsidRDefault="002172FD" w:rsidP="002172FD">
      <w:pPr>
        <w:rPr>
          <w:b/>
        </w:rPr>
      </w:pPr>
      <w:bookmarkStart w:id="339" w:name="_Toc396986011"/>
      <w:r w:rsidRPr="00502BF5">
        <w:rPr>
          <w:b/>
        </w:rPr>
        <w:lastRenderedPageBreak/>
        <w:t>Tabulka:</w:t>
      </w:r>
      <w:r w:rsidRPr="00502BF5">
        <w:t xml:space="preserve"> </w:t>
      </w:r>
      <w:r w:rsidRPr="00502BF5">
        <w:rPr>
          <w:rFonts w:cstheme="minorHAnsi"/>
          <w:i/>
        </w:rPr>
        <w:t>Odhad nákladů a výnosů z aukcí v rámci na EU ETS v letech 2014-2020</w:t>
      </w:r>
      <w:bookmarkEnd w:id="339"/>
    </w:p>
    <w:tbl>
      <w:tblPr>
        <w:tblW w:w="5000" w:type="pct"/>
        <w:tblCellMar>
          <w:left w:w="70" w:type="dxa"/>
          <w:right w:w="70" w:type="dxa"/>
        </w:tblCellMar>
        <w:tblLook w:val="04A0" w:firstRow="1" w:lastRow="0" w:firstColumn="1" w:lastColumn="0" w:noHBand="0" w:noVBand="1"/>
      </w:tblPr>
      <w:tblGrid>
        <w:gridCol w:w="3385"/>
        <w:gridCol w:w="946"/>
        <w:gridCol w:w="814"/>
        <w:gridCol w:w="814"/>
        <w:gridCol w:w="814"/>
        <w:gridCol w:w="814"/>
        <w:gridCol w:w="814"/>
        <w:gridCol w:w="811"/>
      </w:tblGrid>
      <w:tr w:rsidR="002172FD" w:rsidTr="002172FD">
        <w:trPr>
          <w:trHeight w:val="299"/>
        </w:trPr>
        <w:tc>
          <w:tcPr>
            <w:tcW w:w="1837" w:type="pct"/>
            <w:tcBorders>
              <w:top w:val="single" w:sz="12" w:space="0" w:color="auto"/>
              <w:left w:val="single" w:sz="12" w:space="0" w:color="auto"/>
              <w:bottom w:val="single" w:sz="12" w:space="0" w:color="auto"/>
              <w:right w:val="single" w:sz="12" w:space="0" w:color="auto"/>
            </w:tcBorders>
            <w:shd w:val="clear" w:color="auto" w:fill="3371A5"/>
            <w:hideMark/>
          </w:tcPr>
          <w:p w:rsidR="002172FD" w:rsidRDefault="002172FD" w:rsidP="002172FD">
            <w:pPr>
              <w:spacing w:after="0" w:line="240" w:lineRule="auto"/>
              <w:rPr>
                <w:b/>
                <w:bCs/>
                <w:color w:val="FFFFFF" w:themeColor="background1"/>
                <w:sz w:val="20"/>
                <w:szCs w:val="16"/>
              </w:rPr>
            </w:pPr>
            <w:r>
              <w:rPr>
                <w:b/>
                <w:bCs/>
                <w:color w:val="FFFFFF" w:themeColor="background1"/>
                <w:sz w:val="20"/>
                <w:szCs w:val="16"/>
              </w:rPr>
              <w:t>Odhad dražeb v EU ETS 2014-2020</w:t>
            </w:r>
          </w:p>
        </w:tc>
        <w:tc>
          <w:tcPr>
            <w:tcW w:w="513" w:type="pct"/>
            <w:tcBorders>
              <w:top w:val="single" w:sz="12" w:space="0" w:color="auto"/>
              <w:left w:val="single" w:sz="12"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2014</w:t>
            </w:r>
          </w:p>
        </w:tc>
        <w:tc>
          <w:tcPr>
            <w:tcW w:w="442" w:type="pct"/>
            <w:tcBorders>
              <w:top w:val="single" w:sz="12" w:space="0" w:color="auto"/>
              <w:left w:val="single" w:sz="8"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2015</w:t>
            </w:r>
          </w:p>
        </w:tc>
        <w:tc>
          <w:tcPr>
            <w:tcW w:w="442" w:type="pct"/>
            <w:tcBorders>
              <w:top w:val="single" w:sz="12" w:space="0" w:color="auto"/>
              <w:left w:val="single" w:sz="8"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2016</w:t>
            </w:r>
          </w:p>
        </w:tc>
        <w:tc>
          <w:tcPr>
            <w:tcW w:w="442" w:type="pct"/>
            <w:tcBorders>
              <w:top w:val="single" w:sz="12" w:space="0" w:color="auto"/>
              <w:left w:val="single" w:sz="8"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2017</w:t>
            </w:r>
          </w:p>
        </w:tc>
        <w:tc>
          <w:tcPr>
            <w:tcW w:w="442" w:type="pct"/>
            <w:tcBorders>
              <w:top w:val="single" w:sz="12" w:space="0" w:color="auto"/>
              <w:left w:val="single" w:sz="8"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2018</w:t>
            </w:r>
          </w:p>
        </w:tc>
        <w:tc>
          <w:tcPr>
            <w:tcW w:w="442" w:type="pct"/>
            <w:tcBorders>
              <w:top w:val="single" w:sz="12" w:space="0" w:color="auto"/>
              <w:left w:val="single" w:sz="8" w:space="0" w:color="auto"/>
              <w:bottom w:val="single" w:sz="12" w:space="0" w:color="auto"/>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2019</w:t>
            </w:r>
          </w:p>
        </w:tc>
        <w:tc>
          <w:tcPr>
            <w:tcW w:w="441" w:type="pct"/>
            <w:tcBorders>
              <w:top w:val="single" w:sz="12" w:space="0" w:color="auto"/>
              <w:left w:val="single" w:sz="8" w:space="0" w:color="auto"/>
              <w:bottom w:val="single" w:sz="12" w:space="0" w:color="auto"/>
              <w:right w:val="single" w:sz="12"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2020</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Emisní strop EU ETS (mil. EUA)</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2 046,04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2 007,77</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1 969,51</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1 931,24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1 892,98</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1 854,72</w:t>
            </w:r>
          </w:p>
        </w:tc>
        <w:tc>
          <w:tcPr>
            <w:tcW w:w="44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1 816,45</w:t>
            </w:r>
          </w:p>
        </w:tc>
      </w:tr>
      <w:tr w:rsidR="002172FD" w:rsidTr="002172FD">
        <w:trPr>
          <w:trHeight w:val="299"/>
        </w:trPr>
        <w:tc>
          <w:tcPr>
            <w:tcW w:w="1837"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    z toho určeno k dražbě (mil. EUA)</w:t>
            </w:r>
          </w:p>
        </w:tc>
        <w:tc>
          <w:tcPr>
            <w:tcW w:w="513"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1 055,46</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1 057,16</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1 051,90</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1 046,24</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1 040,13</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1 033,61</w:t>
            </w:r>
          </w:p>
        </w:tc>
        <w:tc>
          <w:tcPr>
            <w:tcW w:w="44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1 026,55</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Objem </w:t>
            </w:r>
            <w:proofErr w:type="spellStart"/>
            <w:r>
              <w:rPr>
                <w:sz w:val="16"/>
                <w:szCs w:val="16"/>
              </w:rPr>
              <w:t>backloadingu</w:t>
            </w:r>
            <w:proofErr w:type="spellEnd"/>
            <w:r>
              <w:rPr>
                <w:sz w:val="16"/>
                <w:szCs w:val="16"/>
              </w:rPr>
              <w:t xml:space="preserve"> v daném roce (mil. EUA)</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-400</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-300,00</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-200,00</w:t>
            </w: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300,00</w:t>
            </w:r>
          </w:p>
        </w:tc>
        <w:tc>
          <w:tcPr>
            <w:tcW w:w="44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600,00</w:t>
            </w:r>
          </w:p>
        </w:tc>
      </w:tr>
      <w:tr w:rsidR="002172FD" w:rsidTr="002172FD">
        <w:trPr>
          <w:trHeight w:val="287"/>
        </w:trPr>
        <w:tc>
          <w:tcPr>
            <w:tcW w:w="1837" w:type="pct"/>
            <w:tcBorders>
              <w:top w:val="single" w:sz="6"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Dražené množství v EU ETS (mil. EUA)</w:t>
            </w:r>
          </w:p>
        </w:tc>
        <w:tc>
          <w:tcPr>
            <w:tcW w:w="513"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655,46</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757,16</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851,90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1 046,24</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1 040,13</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1 333,61</w:t>
            </w:r>
          </w:p>
        </w:tc>
        <w:tc>
          <w:tcPr>
            <w:tcW w:w="441" w:type="pct"/>
            <w:tcBorders>
              <w:top w:val="single" w:sz="6"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1 626,55</w:t>
            </w:r>
          </w:p>
        </w:tc>
      </w:tr>
      <w:tr w:rsidR="002172FD" w:rsidTr="002172FD">
        <w:trPr>
          <w:trHeight w:val="299"/>
        </w:trPr>
        <w:tc>
          <w:tcPr>
            <w:tcW w:w="1837"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Podíl ČR (4,53 %, mil. EUA)</w:t>
            </w:r>
          </w:p>
        </w:tc>
        <w:tc>
          <w:tcPr>
            <w:tcW w:w="513"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29,69</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34,30</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38,59</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47,39</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47,12</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60,41</w:t>
            </w:r>
          </w:p>
        </w:tc>
        <w:tc>
          <w:tcPr>
            <w:tcW w:w="44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73,68</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Korekce ČR pro 2014 (přebytek </w:t>
            </w:r>
            <w:proofErr w:type="gramStart"/>
            <w:r>
              <w:rPr>
                <w:sz w:val="16"/>
                <w:szCs w:val="16"/>
              </w:rPr>
              <w:t>ze</w:t>
            </w:r>
            <w:proofErr w:type="gramEnd"/>
            <w:r>
              <w:rPr>
                <w:sz w:val="16"/>
                <w:szCs w:val="16"/>
              </w:rPr>
              <w:t xml:space="preserve"> 2013, mil. EUA)</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2,80</w:t>
            </w: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2" w:type="pct"/>
            <w:tcBorders>
              <w:top w:val="single" w:sz="12" w:space="0" w:color="auto"/>
              <w:left w:val="single" w:sz="6" w:space="0" w:color="auto"/>
              <w:bottom w:val="single" w:sz="6" w:space="0" w:color="auto"/>
              <w:right w:val="single" w:sz="6" w:space="0" w:color="auto"/>
            </w:tcBorders>
            <w:vAlign w:val="center"/>
          </w:tcPr>
          <w:p w:rsidR="002172FD" w:rsidRDefault="002172FD" w:rsidP="002172FD">
            <w:pPr>
              <w:spacing w:after="0" w:line="240" w:lineRule="auto"/>
              <w:jc w:val="right"/>
              <w:rPr>
                <w:sz w:val="16"/>
                <w:szCs w:val="16"/>
              </w:rPr>
            </w:pPr>
          </w:p>
        </w:tc>
        <w:tc>
          <w:tcPr>
            <w:tcW w:w="441" w:type="pct"/>
            <w:tcBorders>
              <w:top w:val="single" w:sz="12" w:space="0" w:color="auto"/>
              <w:left w:val="single" w:sz="6" w:space="0" w:color="auto"/>
              <w:bottom w:val="single" w:sz="6" w:space="0" w:color="auto"/>
              <w:right w:val="single" w:sz="12" w:space="0" w:color="auto"/>
            </w:tcBorders>
            <w:vAlign w:val="center"/>
          </w:tcPr>
          <w:p w:rsidR="002172FD" w:rsidRDefault="002172FD" w:rsidP="002172FD">
            <w:pPr>
              <w:spacing w:after="0" w:line="240" w:lineRule="auto"/>
              <w:jc w:val="right"/>
              <w:rPr>
                <w:sz w:val="16"/>
                <w:szCs w:val="16"/>
              </w:rPr>
            </w:pPr>
          </w:p>
        </w:tc>
      </w:tr>
      <w:tr w:rsidR="002172FD" w:rsidTr="002172FD">
        <w:trPr>
          <w:trHeight w:val="299"/>
        </w:trPr>
        <w:tc>
          <w:tcPr>
            <w:tcW w:w="1837"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Derogace ČR (mil. EUA)</w:t>
            </w:r>
          </w:p>
        </w:tc>
        <w:tc>
          <w:tcPr>
            <w:tcW w:w="513"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-23,07</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-19,23</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-15,38</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-11,54</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-7,69</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-3,85</w:t>
            </w:r>
          </w:p>
        </w:tc>
        <w:tc>
          <w:tcPr>
            <w:tcW w:w="44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0,00</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Draženo za ČR (4,53 %, mil. EUA)</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9,42</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14,46</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22,25</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34,54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37,73</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54,49</w:t>
            </w:r>
          </w:p>
        </w:tc>
        <w:tc>
          <w:tcPr>
            <w:tcW w:w="44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71,24</w:t>
            </w:r>
          </w:p>
        </w:tc>
      </w:tr>
      <w:tr w:rsidR="002172FD" w:rsidTr="002172FD">
        <w:trPr>
          <w:trHeight w:val="287"/>
        </w:trPr>
        <w:tc>
          <w:tcPr>
            <w:tcW w:w="1837" w:type="pct"/>
            <w:tcBorders>
              <w:top w:val="single" w:sz="6"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Cena EUA (EUR)</w:t>
            </w:r>
          </w:p>
        </w:tc>
        <w:tc>
          <w:tcPr>
            <w:tcW w:w="513"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6,50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7,50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8,50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10,00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11,50</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10,00</w:t>
            </w:r>
          </w:p>
        </w:tc>
        <w:tc>
          <w:tcPr>
            <w:tcW w:w="441" w:type="pct"/>
            <w:tcBorders>
              <w:top w:val="single" w:sz="6"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9,00</w:t>
            </w:r>
          </w:p>
        </w:tc>
      </w:tr>
      <w:tr w:rsidR="002172FD" w:rsidTr="002172FD">
        <w:trPr>
          <w:trHeight w:val="299"/>
        </w:trPr>
        <w:tc>
          <w:tcPr>
            <w:tcW w:w="1837"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Výnos ČR (mil. EUR)</w:t>
            </w:r>
          </w:p>
        </w:tc>
        <w:tc>
          <w:tcPr>
            <w:tcW w:w="513"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61,22</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108,43</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189,15</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345,37</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433,88</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544,89</w:t>
            </w:r>
          </w:p>
        </w:tc>
        <w:tc>
          <w:tcPr>
            <w:tcW w:w="44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641,12</w:t>
            </w:r>
          </w:p>
        </w:tc>
      </w:tr>
      <w:tr w:rsidR="002172FD" w:rsidTr="002172FD">
        <w:trPr>
          <w:trHeight w:val="287"/>
        </w:trPr>
        <w:tc>
          <w:tcPr>
            <w:tcW w:w="1837"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513"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2"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2"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2"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2"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2"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c>
          <w:tcPr>
            <w:tcW w:w="441" w:type="pct"/>
            <w:tcBorders>
              <w:top w:val="nil"/>
              <w:left w:val="nil"/>
              <w:bottom w:val="single" w:sz="12" w:space="0" w:color="auto"/>
              <w:right w:val="nil"/>
            </w:tcBorders>
          </w:tcPr>
          <w:p w:rsidR="002172FD" w:rsidRDefault="002172FD" w:rsidP="002172FD">
            <w:pPr>
              <w:spacing w:after="0" w:line="240" w:lineRule="auto"/>
              <w:jc w:val="right"/>
              <w:rPr>
                <w:sz w:val="16"/>
                <w:szCs w:val="16"/>
              </w:rPr>
            </w:pPr>
          </w:p>
        </w:tc>
      </w:tr>
      <w:tr w:rsidR="002172FD" w:rsidTr="002172FD">
        <w:trPr>
          <w:trHeight w:val="299"/>
        </w:trPr>
        <w:tc>
          <w:tcPr>
            <w:tcW w:w="1837" w:type="pct"/>
            <w:tcBorders>
              <w:top w:val="single" w:sz="12" w:space="0" w:color="auto"/>
              <w:left w:val="single" w:sz="12" w:space="0" w:color="auto"/>
              <w:bottom w:val="nil"/>
              <w:right w:val="single" w:sz="12" w:space="0" w:color="auto"/>
            </w:tcBorders>
            <w:shd w:val="clear" w:color="auto" w:fill="3371A5"/>
            <w:hideMark/>
          </w:tcPr>
          <w:p w:rsidR="002172FD" w:rsidRDefault="002172FD" w:rsidP="002172FD">
            <w:pPr>
              <w:spacing w:after="0" w:line="240" w:lineRule="auto"/>
              <w:rPr>
                <w:b/>
                <w:bCs/>
                <w:color w:val="FFFFFF" w:themeColor="background1"/>
                <w:sz w:val="20"/>
                <w:szCs w:val="16"/>
              </w:rPr>
            </w:pPr>
            <w:r>
              <w:rPr>
                <w:b/>
                <w:bCs/>
                <w:color w:val="FFFFFF" w:themeColor="background1"/>
                <w:sz w:val="20"/>
                <w:szCs w:val="16"/>
              </w:rPr>
              <w:t>Náklady podnikové sféry ČR</w:t>
            </w:r>
          </w:p>
        </w:tc>
        <w:tc>
          <w:tcPr>
            <w:tcW w:w="513" w:type="pct"/>
            <w:tcBorders>
              <w:top w:val="single" w:sz="12" w:space="0" w:color="auto"/>
              <w:left w:val="single" w:sz="12"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2014</w:t>
            </w:r>
          </w:p>
        </w:tc>
        <w:tc>
          <w:tcPr>
            <w:tcW w:w="442" w:type="pct"/>
            <w:tcBorders>
              <w:top w:val="single" w:sz="12" w:space="0" w:color="auto"/>
              <w:left w:val="single" w:sz="8"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2015</w:t>
            </w:r>
          </w:p>
        </w:tc>
        <w:tc>
          <w:tcPr>
            <w:tcW w:w="442" w:type="pct"/>
            <w:tcBorders>
              <w:top w:val="single" w:sz="12" w:space="0" w:color="auto"/>
              <w:left w:val="single" w:sz="8"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2016</w:t>
            </w:r>
          </w:p>
        </w:tc>
        <w:tc>
          <w:tcPr>
            <w:tcW w:w="442" w:type="pct"/>
            <w:tcBorders>
              <w:top w:val="single" w:sz="12" w:space="0" w:color="auto"/>
              <w:left w:val="single" w:sz="8"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2017</w:t>
            </w:r>
          </w:p>
        </w:tc>
        <w:tc>
          <w:tcPr>
            <w:tcW w:w="442" w:type="pct"/>
            <w:tcBorders>
              <w:top w:val="single" w:sz="12" w:space="0" w:color="auto"/>
              <w:left w:val="single" w:sz="8"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2018</w:t>
            </w:r>
          </w:p>
        </w:tc>
        <w:tc>
          <w:tcPr>
            <w:tcW w:w="442" w:type="pct"/>
            <w:tcBorders>
              <w:top w:val="single" w:sz="12" w:space="0" w:color="auto"/>
              <w:left w:val="single" w:sz="8" w:space="0" w:color="auto"/>
              <w:bottom w:val="nil"/>
              <w:right w:val="single" w:sz="8"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2019</w:t>
            </w:r>
          </w:p>
        </w:tc>
        <w:tc>
          <w:tcPr>
            <w:tcW w:w="441" w:type="pct"/>
            <w:tcBorders>
              <w:top w:val="single" w:sz="12" w:space="0" w:color="auto"/>
              <w:left w:val="single" w:sz="8" w:space="0" w:color="auto"/>
              <w:bottom w:val="nil"/>
              <w:right w:val="single" w:sz="12"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2020</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Emise podniků v ETS (mil. t CO</w:t>
            </w:r>
            <w:r>
              <w:rPr>
                <w:sz w:val="16"/>
                <w:szCs w:val="16"/>
                <w:vertAlign w:val="subscript"/>
              </w:rPr>
              <w:t xml:space="preserve">2 </w:t>
            </w:r>
            <w:proofErr w:type="spellStart"/>
            <w:r>
              <w:rPr>
                <w:sz w:val="16"/>
                <w:szCs w:val="16"/>
              </w:rPr>
              <w:t>eq</w:t>
            </w:r>
            <w:proofErr w:type="spellEnd"/>
            <w:r>
              <w:rPr>
                <w:sz w:val="16"/>
                <w:szCs w:val="16"/>
              </w:rPr>
              <w:t>.)*</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84,73</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78,64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76,09</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73,58</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71,11</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68,68</w:t>
            </w:r>
          </w:p>
        </w:tc>
        <w:tc>
          <w:tcPr>
            <w:tcW w:w="44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66,29</w:t>
            </w:r>
          </w:p>
        </w:tc>
      </w:tr>
      <w:tr w:rsidR="002172FD" w:rsidTr="002172FD">
        <w:trPr>
          <w:trHeight w:val="287"/>
        </w:trPr>
        <w:tc>
          <w:tcPr>
            <w:tcW w:w="1837" w:type="pct"/>
            <w:tcBorders>
              <w:top w:val="single" w:sz="6"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Bezplatná alokace dle </w:t>
            </w:r>
            <w:proofErr w:type="spellStart"/>
            <w:r>
              <w:rPr>
                <w:sz w:val="16"/>
                <w:szCs w:val="16"/>
              </w:rPr>
              <w:t>čl</w:t>
            </w:r>
            <w:proofErr w:type="spellEnd"/>
            <w:r>
              <w:rPr>
                <w:sz w:val="16"/>
                <w:szCs w:val="16"/>
              </w:rPr>
              <w:t xml:space="preserve"> 10a (mil. EUA)</w:t>
            </w:r>
          </w:p>
        </w:tc>
        <w:tc>
          <w:tcPr>
            <w:tcW w:w="513"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24,44</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23,22</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22,11</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21,11</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20,19</w:t>
            </w:r>
          </w:p>
        </w:tc>
        <w:tc>
          <w:tcPr>
            <w:tcW w:w="442"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19,33</w:t>
            </w:r>
          </w:p>
        </w:tc>
        <w:tc>
          <w:tcPr>
            <w:tcW w:w="441" w:type="pct"/>
            <w:tcBorders>
              <w:top w:val="single" w:sz="6"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18,51</w:t>
            </w:r>
          </w:p>
        </w:tc>
      </w:tr>
      <w:tr w:rsidR="002172FD" w:rsidTr="002172FD">
        <w:trPr>
          <w:trHeight w:val="299"/>
        </w:trPr>
        <w:tc>
          <w:tcPr>
            <w:tcW w:w="1837" w:type="pct"/>
            <w:tcBorders>
              <w:top w:val="single" w:sz="6" w:space="0" w:color="auto"/>
              <w:left w:val="single" w:sz="12" w:space="0" w:color="auto"/>
              <w:bottom w:val="nil"/>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Bezplatná alokace dle </w:t>
            </w:r>
            <w:proofErr w:type="spellStart"/>
            <w:r>
              <w:rPr>
                <w:sz w:val="16"/>
                <w:szCs w:val="16"/>
              </w:rPr>
              <w:t>čl</w:t>
            </w:r>
            <w:proofErr w:type="spellEnd"/>
            <w:r>
              <w:rPr>
                <w:sz w:val="16"/>
                <w:szCs w:val="16"/>
              </w:rPr>
              <w:t xml:space="preserve"> 10c (mil. EUA)</w:t>
            </w:r>
          </w:p>
        </w:tc>
        <w:tc>
          <w:tcPr>
            <w:tcW w:w="513"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23,07</w:t>
            </w:r>
          </w:p>
        </w:tc>
        <w:tc>
          <w:tcPr>
            <w:tcW w:w="442"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19,23</w:t>
            </w:r>
          </w:p>
        </w:tc>
        <w:tc>
          <w:tcPr>
            <w:tcW w:w="442"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15,38</w:t>
            </w:r>
          </w:p>
        </w:tc>
        <w:tc>
          <w:tcPr>
            <w:tcW w:w="442"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11,54</w:t>
            </w:r>
          </w:p>
        </w:tc>
        <w:tc>
          <w:tcPr>
            <w:tcW w:w="442"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7,69</w:t>
            </w:r>
          </w:p>
        </w:tc>
        <w:tc>
          <w:tcPr>
            <w:tcW w:w="442"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3,85</w:t>
            </w:r>
          </w:p>
        </w:tc>
        <w:tc>
          <w:tcPr>
            <w:tcW w:w="441" w:type="pct"/>
            <w:tcBorders>
              <w:top w:val="single" w:sz="6" w:space="0" w:color="auto"/>
              <w:left w:val="single" w:sz="6" w:space="0" w:color="auto"/>
              <w:bottom w:val="nil"/>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0,00</w:t>
            </w:r>
          </w:p>
        </w:tc>
      </w:tr>
      <w:tr w:rsidR="002172FD" w:rsidTr="002172FD">
        <w:trPr>
          <w:trHeight w:val="287"/>
        </w:trPr>
        <w:tc>
          <w:tcPr>
            <w:tcW w:w="1837"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Dokupovaný objem (mil. EUA)</w:t>
            </w:r>
          </w:p>
        </w:tc>
        <w:tc>
          <w:tcPr>
            <w:tcW w:w="513"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37,23</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36,20</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38,60</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40,94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43,24</w:t>
            </w:r>
          </w:p>
        </w:tc>
        <w:tc>
          <w:tcPr>
            <w:tcW w:w="442"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45,51</w:t>
            </w:r>
          </w:p>
        </w:tc>
        <w:tc>
          <w:tcPr>
            <w:tcW w:w="44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47,79</w:t>
            </w:r>
          </w:p>
        </w:tc>
      </w:tr>
      <w:tr w:rsidR="002172FD" w:rsidTr="002172FD">
        <w:trPr>
          <w:trHeight w:val="299"/>
        </w:trPr>
        <w:tc>
          <w:tcPr>
            <w:tcW w:w="1837"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Náklady na koupi EUA (mil. EUR)</w:t>
            </w:r>
          </w:p>
        </w:tc>
        <w:tc>
          <w:tcPr>
            <w:tcW w:w="513"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241,97</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271,47</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328,10</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409,41</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497,23</w:t>
            </w:r>
          </w:p>
        </w:tc>
        <w:tc>
          <w:tcPr>
            <w:tcW w:w="442"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6"/>
                <w:szCs w:val="16"/>
              </w:rPr>
            </w:pPr>
            <w:r>
              <w:rPr>
                <w:sz w:val="16"/>
                <w:szCs w:val="16"/>
              </w:rPr>
              <w:t>477,89</w:t>
            </w:r>
          </w:p>
        </w:tc>
        <w:tc>
          <w:tcPr>
            <w:tcW w:w="44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6"/>
                <w:szCs w:val="16"/>
              </w:rPr>
            </w:pPr>
            <w:r>
              <w:rPr>
                <w:sz w:val="16"/>
                <w:szCs w:val="16"/>
              </w:rPr>
              <w:t>430,10</w:t>
            </w:r>
          </w:p>
        </w:tc>
      </w:tr>
      <w:tr w:rsidR="002172FD" w:rsidTr="002172FD">
        <w:trPr>
          <w:trHeight w:val="287"/>
        </w:trPr>
        <w:tc>
          <w:tcPr>
            <w:tcW w:w="5000" w:type="pct"/>
            <w:gridSpan w:val="8"/>
            <w:tcBorders>
              <w:top w:val="single" w:sz="12" w:space="0" w:color="auto"/>
              <w:left w:val="nil"/>
              <w:bottom w:val="nil"/>
              <w:right w:val="nil"/>
            </w:tcBorders>
            <w:hideMark/>
          </w:tcPr>
          <w:p w:rsidR="002172FD" w:rsidRDefault="002172FD" w:rsidP="002172FD">
            <w:pPr>
              <w:spacing w:after="0" w:line="240" w:lineRule="auto"/>
              <w:rPr>
                <w:i/>
                <w:iCs/>
                <w:sz w:val="16"/>
                <w:szCs w:val="16"/>
              </w:rPr>
            </w:pPr>
            <w:r>
              <w:rPr>
                <w:i/>
                <w:iCs/>
                <w:sz w:val="16"/>
                <w:szCs w:val="16"/>
              </w:rPr>
              <w:t xml:space="preserve">* Zdroj: Evropská komise: EU </w:t>
            </w:r>
            <w:proofErr w:type="spellStart"/>
            <w:r>
              <w:rPr>
                <w:i/>
                <w:iCs/>
                <w:sz w:val="16"/>
                <w:szCs w:val="16"/>
              </w:rPr>
              <w:t>Energy</w:t>
            </w:r>
            <w:proofErr w:type="spellEnd"/>
            <w:r>
              <w:rPr>
                <w:i/>
                <w:iCs/>
                <w:sz w:val="16"/>
                <w:szCs w:val="16"/>
              </w:rPr>
              <w:t xml:space="preserve">, transport and GHG </w:t>
            </w:r>
            <w:proofErr w:type="spellStart"/>
            <w:r>
              <w:rPr>
                <w:i/>
                <w:iCs/>
                <w:sz w:val="16"/>
                <w:szCs w:val="16"/>
              </w:rPr>
              <w:t>emissions</w:t>
            </w:r>
            <w:proofErr w:type="spellEnd"/>
            <w:r>
              <w:rPr>
                <w:i/>
                <w:iCs/>
                <w:sz w:val="16"/>
                <w:szCs w:val="16"/>
              </w:rPr>
              <w:t xml:space="preserve"> - </w:t>
            </w:r>
            <w:proofErr w:type="spellStart"/>
            <w:r>
              <w:rPr>
                <w:i/>
                <w:iCs/>
                <w:sz w:val="16"/>
                <w:szCs w:val="16"/>
              </w:rPr>
              <w:t>Trends</w:t>
            </w:r>
            <w:proofErr w:type="spellEnd"/>
            <w:r>
              <w:rPr>
                <w:i/>
                <w:iCs/>
                <w:sz w:val="16"/>
                <w:szCs w:val="16"/>
              </w:rPr>
              <w:t xml:space="preserve"> to 2050 </w:t>
            </w:r>
          </w:p>
          <w:p w:rsidR="002172FD" w:rsidRDefault="002172FD" w:rsidP="002172FD">
            <w:pPr>
              <w:spacing w:after="0" w:line="240" w:lineRule="auto"/>
              <w:rPr>
                <w:i/>
                <w:iCs/>
                <w:sz w:val="16"/>
                <w:szCs w:val="16"/>
              </w:rPr>
            </w:pPr>
            <w:r>
              <w:rPr>
                <w:i/>
                <w:iCs/>
                <w:sz w:val="16"/>
                <w:szCs w:val="16"/>
              </w:rPr>
              <w:t>(http://ec.europa.eu/clima/policies/2030/models/eu_trends_2050_en.pdf)</w:t>
            </w:r>
          </w:p>
        </w:tc>
      </w:tr>
    </w:tbl>
    <w:p w:rsidR="002172FD" w:rsidRDefault="002172FD" w:rsidP="002172FD">
      <w:pPr>
        <w:spacing w:after="120"/>
        <w:jc w:val="right"/>
        <w:rPr>
          <w:i/>
        </w:rPr>
      </w:pPr>
      <w:r>
        <w:rPr>
          <w:i/>
        </w:rPr>
        <w:t>Zdroj: Expertní odhad MŽP</w:t>
      </w:r>
    </w:p>
    <w:p w:rsidR="002172FD" w:rsidRDefault="002172FD" w:rsidP="002172FD">
      <w:pPr>
        <w:pStyle w:val="Titulek"/>
        <w:keepNext/>
        <w:spacing w:after="120"/>
        <w:rPr>
          <w:rFonts w:cstheme="minorHAnsi"/>
          <w:sz w:val="24"/>
        </w:rPr>
      </w:pPr>
      <w:bookmarkStart w:id="340" w:name="_Toc396986012"/>
      <w:r w:rsidRPr="00502BF5">
        <w:rPr>
          <w:bCs w:val="0"/>
          <w:color w:val="auto"/>
          <w:sz w:val="22"/>
          <w:szCs w:val="22"/>
        </w:rPr>
        <w:t xml:space="preserve">Tabulka: </w:t>
      </w:r>
      <w:r w:rsidRPr="00502BF5">
        <w:rPr>
          <w:rFonts w:cstheme="minorHAnsi"/>
          <w:b w:val="0"/>
          <w:bCs w:val="0"/>
          <w:i/>
          <w:color w:val="auto"/>
          <w:sz w:val="22"/>
          <w:szCs w:val="22"/>
        </w:rPr>
        <w:t>Odhad nákladů souvisejících s EU ETS v letech 2020-2030</w:t>
      </w:r>
      <w:bookmarkEnd w:id="340"/>
    </w:p>
    <w:tbl>
      <w:tblPr>
        <w:tblW w:w="5000" w:type="pct"/>
        <w:tblCellMar>
          <w:left w:w="70" w:type="dxa"/>
          <w:right w:w="70" w:type="dxa"/>
        </w:tblCellMar>
        <w:tblLook w:val="04A0" w:firstRow="1" w:lastRow="0" w:firstColumn="1" w:lastColumn="0" w:noHBand="0" w:noVBand="1"/>
      </w:tblPr>
      <w:tblGrid>
        <w:gridCol w:w="2696"/>
        <w:gridCol w:w="653"/>
        <w:gridCol w:w="652"/>
        <w:gridCol w:w="652"/>
        <w:gridCol w:w="652"/>
        <w:gridCol w:w="652"/>
        <w:gridCol w:w="652"/>
        <w:gridCol w:w="652"/>
        <w:gridCol w:w="652"/>
        <w:gridCol w:w="652"/>
        <w:gridCol w:w="647"/>
      </w:tblGrid>
      <w:tr w:rsidR="002172FD" w:rsidTr="002172FD">
        <w:trPr>
          <w:trHeight w:val="290"/>
        </w:trPr>
        <w:tc>
          <w:tcPr>
            <w:tcW w:w="5000" w:type="pct"/>
            <w:gridSpan w:val="11"/>
            <w:tcBorders>
              <w:top w:val="nil"/>
              <w:left w:val="nil"/>
              <w:bottom w:val="single" w:sz="12" w:space="0" w:color="auto"/>
              <w:right w:val="nil"/>
            </w:tcBorders>
            <w:hideMark/>
          </w:tcPr>
          <w:p w:rsidR="002172FD" w:rsidRDefault="002172FD" w:rsidP="002172FD">
            <w:pPr>
              <w:spacing w:after="0" w:line="240" w:lineRule="auto"/>
              <w:rPr>
                <w:sz w:val="20"/>
                <w:szCs w:val="16"/>
              </w:rPr>
            </w:pPr>
            <w:r>
              <w:rPr>
                <w:b/>
                <w:bCs/>
                <w:sz w:val="20"/>
                <w:szCs w:val="16"/>
              </w:rPr>
              <w:t>Odhad dražeb v EU ETS 2021-2030</w:t>
            </w:r>
          </w:p>
        </w:tc>
      </w:tr>
      <w:tr w:rsidR="002172FD" w:rsidTr="002172FD">
        <w:trPr>
          <w:trHeight w:val="302"/>
        </w:trPr>
        <w:tc>
          <w:tcPr>
            <w:tcW w:w="1463" w:type="pct"/>
            <w:tcBorders>
              <w:top w:val="single" w:sz="12" w:space="0" w:color="auto"/>
              <w:left w:val="single" w:sz="12" w:space="0" w:color="auto"/>
              <w:bottom w:val="single" w:sz="12" w:space="0" w:color="auto"/>
              <w:right w:val="nil"/>
            </w:tcBorders>
            <w:shd w:val="clear" w:color="auto" w:fill="3371A5"/>
            <w:hideMark/>
          </w:tcPr>
          <w:p w:rsidR="002172FD" w:rsidRDefault="002172FD" w:rsidP="002172FD">
            <w:pPr>
              <w:spacing w:after="0" w:line="240" w:lineRule="auto"/>
              <w:rPr>
                <w:b/>
                <w:bCs/>
                <w:color w:val="FFFFFF" w:themeColor="background1"/>
                <w:sz w:val="20"/>
                <w:szCs w:val="16"/>
              </w:rPr>
            </w:pPr>
            <w:r>
              <w:rPr>
                <w:b/>
                <w:bCs/>
                <w:color w:val="FFFFFF" w:themeColor="background1"/>
                <w:sz w:val="20"/>
                <w:szCs w:val="16"/>
              </w:rPr>
              <w:t>Bez stabilizační rezervy</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2021</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2022</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2023</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2024</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2025</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2026</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2027</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2028</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2029</w:t>
            </w:r>
          </w:p>
        </w:tc>
        <w:tc>
          <w:tcPr>
            <w:tcW w:w="351" w:type="pct"/>
            <w:tcBorders>
              <w:top w:val="single" w:sz="12" w:space="0" w:color="auto"/>
              <w:left w:val="nil"/>
              <w:bottom w:val="single" w:sz="12" w:space="0" w:color="auto"/>
              <w:right w:val="single" w:sz="12"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2030</w:t>
            </w:r>
          </w:p>
        </w:tc>
      </w:tr>
      <w:tr w:rsidR="002172FD" w:rsidTr="002172FD">
        <w:trPr>
          <w:trHeight w:val="290"/>
        </w:trPr>
        <w:tc>
          <w:tcPr>
            <w:tcW w:w="1463"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4"/>
                <w:szCs w:val="16"/>
              </w:rPr>
            </w:pPr>
            <w:r>
              <w:rPr>
                <w:sz w:val="14"/>
                <w:szCs w:val="16"/>
              </w:rPr>
              <w:t>Emisní strop EU ETS (mil. EUA)</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1 768,07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1 719,69</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1 671,31</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1 622,93</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1 574,55</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1 526,17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1 477,79</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1 429,41</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keepNext/>
              <w:spacing w:after="0" w:line="240" w:lineRule="auto"/>
              <w:jc w:val="right"/>
              <w:rPr>
                <w:sz w:val="14"/>
                <w:szCs w:val="14"/>
              </w:rPr>
            </w:pPr>
            <w:r>
              <w:rPr>
                <w:sz w:val="14"/>
                <w:szCs w:val="14"/>
              </w:rPr>
              <w:t>1 381,03</w:t>
            </w:r>
          </w:p>
        </w:tc>
        <w:tc>
          <w:tcPr>
            <w:tcW w:w="35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keepNext/>
              <w:spacing w:after="0" w:line="240" w:lineRule="auto"/>
              <w:jc w:val="right"/>
              <w:rPr>
                <w:sz w:val="14"/>
                <w:szCs w:val="14"/>
              </w:rPr>
            </w:pPr>
            <w:r>
              <w:rPr>
                <w:sz w:val="14"/>
                <w:szCs w:val="14"/>
              </w:rPr>
              <w:t>1 332,65</w:t>
            </w:r>
          </w:p>
        </w:tc>
      </w:tr>
      <w:tr w:rsidR="002172FD" w:rsidTr="002172FD">
        <w:trPr>
          <w:trHeight w:val="302"/>
        </w:trPr>
        <w:tc>
          <w:tcPr>
            <w:tcW w:w="1463"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4"/>
                <w:szCs w:val="16"/>
              </w:rPr>
            </w:pPr>
            <w:r>
              <w:rPr>
                <w:sz w:val="14"/>
                <w:szCs w:val="16"/>
              </w:rPr>
              <w:t>Dražené množství v EU ETS (mil. EUA)</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1 061,74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1 042,79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1 023,84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1 004,89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985,94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966,99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966,59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933,98</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901,37</w:t>
            </w:r>
          </w:p>
        </w:tc>
        <w:tc>
          <w:tcPr>
            <w:tcW w:w="35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868,76</w:t>
            </w:r>
          </w:p>
        </w:tc>
      </w:tr>
      <w:tr w:rsidR="002172FD" w:rsidTr="002172FD">
        <w:trPr>
          <w:trHeight w:val="290"/>
        </w:trPr>
        <w:tc>
          <w:tcPr>
            <w:tcW w:w="1463" w:type="pct"/>
            <w:tcBorders>
              <w:top w:val="nil"/>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4"/>
                <w:szCs w:val="16"/>
              </w:rPr>
            </w:pPr>
            <w:r>
              <w:rPr>
                <w:sz w:val="14"/>
                <w:szCs w:val="16"/>
              </w:rPr>
              <w:t>Z toho draženo za ČR (4,53 %, mil. EUA)</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48,10</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47,24</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46,38</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45,52</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44,66</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43,80</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43,79</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42,31</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40,83</w:t>
            </w:r>
          </w:p>
        </w:tc>
        <w:tc>
          <w:tcPr>
            <w:tcW w:w="351" w:type="pct"/>
            <w:tcBorders>
              <w:top w:val="nil"/>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39,36</w:t>
            </w:r>
          </w:p>
        </w:tc>
      </w:tr>
      <w:tr w:rsidR="002172FD" w:rsidTr="002172FD">
        <w:trPr>
          <w:trHeight w:val="290"/>
        </w:trPr>
        <w:tc>
          <w:tcPr>
            <w:tcW w:w="1463" w:type="pct"/>
            <w:tcBorders>
              <w:top w:val="single" w:sz="6"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4"/>
                <w:szCs w:val="16"/>
              </w:rPr>
            </w:pPr>
            <w:r>
              <w:rPr>
                <w:sz w:val="14"/>
                <w:szCs w:val="16"/>
              </w:rPr>
              <w:t>Cena EUA (EUR)</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10,00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11,50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13,00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14,50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16,00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18,00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20,00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22,00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24,00</w:t>
            </w:r>
          </w:p>
        </w:tc>
        <w:tc>
          <w:tcPr>
            <w:tcW w:w="351" w:type="pct"/>
            <w:tcBorders>
              <w:top w:val="single" w:sz="6"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26,00</w:t>
            </w:r>
          </w:p>
        </w:tc>
      </w:tr>
      <w:tr w:rsidR="002172FD" w:rsidTr="002172FD">
        <w:trPr>
          <w:trHeight w:val="302"/>
        </w:trPr>
        <w:tc>
          <w:tcPr>
            <w:tcW w:w="1463"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4"/>
                <w:szCs w:val="16"/>
              </w:rPr>
            </w:pPr>
            <w:r>
              <w:rPr>
                <w:sz w:val="14"/>
                <w:szCs w:val="16"/>
              </w:rPr>
              <w:t>Výnos ČR (mil. EUR)</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480,97</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543,24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602,94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660,06</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714,61</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788,48</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875,73</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930,80</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979,97</w:t>
            </w:r>
          </w:p>
        </w:tc>
        <w:tc>
          <w:tcPr>
            <w:tcW w:w="35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1 023,23</w:t>
            </w:r>
          </w:p>
        </w:tc>
      </w:tr>
      <w:tr w:rsidR="002172FD" w:rsidTr="002172FD">
        <w:trPr>
          <w:trHeight w:val="290"/>
        </w:trPr>
        <w:tc>
          <w:tcPr>
            <w:tcW w:w="1463"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4" w:type="pct"/>
          </w:tcPr>
          <w:p w:rsidR="002172FD" w:rsidRDefault="002172FD" w:rsidP="002172FD">
            <w:pPr>
              <w:spacing w:after="0" w:line="240" w:lineRule="auto"/>
              <w:jc w:val="right"/>
              <w:rPr>
                <w:sz w:val="16"/>
                <w:szCs w:val="16"/>
              </w:rPr>
            </w:pPr>
          </w:p>
        </w:tc>
        <w:tc>
          <w:tcPr>
            <w:tcW w:w="351" w:type="pct"/>
          </w:tcPr>
          <w:p w:rsidR="002172FD" w:rsidRDefault="002172FD" w:rsidP="002172FD">
            <w:pPr>
              <w:spacing w:after="0" w:line="240" w:lineRule="auto"/>
              <w:jc w:val="right"/>
              <w:rPr>
                <w:sz w:val="16"/>
                <w:szCs w:val="16"/>
              </w:rPr>
            </w:pPr>
          </w:p>
        </w:tc>
      </w:tr>
      <w:tr w:rsidR="002172FD" w:rsidTr="002172FD">
        <w:trPr>
          <w:trHeight w:val="290"/>
        </w:trPr>
        <w:tc>
          <w:tcPr>
            <w:tcW w:w="5000" w:type="pct"/>
            <w:gridSpan w:val="11"/>
            <w:tcBorders>
              <w:top w:val="nil"/>
              <w:left w:val="nil"/>
              <w:bottom w:val="single" w:sz="12" w:space="0" w:color="auto"/>
              <w:right w:val="nil"/>
            </w:tcBorders>
            <w:hideMark/>
          </w:tcPr>
          <w:p w:rsidR="002172FD" w:rsidRDefault="002172FD" w:rsidP="002172FD">
            <w:pPr>
              <w:spacing w:after="0" w:line="240" w:lineRule="auto"/>
              <w:rPr>
                <w:sz w:val="16"/>
                <w:szCs w:val="16"/>
              </w:rPr>
            </w:pPr>
            <w:r>
              <w:rPr>
                <w:b/>
                <w:bCs/>
                <w:sz w:val="20"/>
                <w:szCs w:val="16"/>
              </w:rPr>
              <w:t>Odhad dražeb v EU ETS 2021-2030</w:t>
            </w:r>
          </w:p>
        </w:tc>
      </w:tr>
      <w:tr w:rsidR="002172FD" w:rsidTr="002172FD">
        <w:trPr>
          <w:trHeight w:val="302"/>
        </w:trPr>
        <w:tc>
          <w:tcPr>
            <w:tcW w:w="1463" w:type="pct"/>
            <w:tcBorders>
              <w:top w:val="single" w:sz="12" w:space="0" w:color="auto"/>
              <w:left w:val="single" w:sz="12" w:space="0" w:color="auto"/>
              <w:bottom w:val="single" w:sz="12" w:space="0" w:color="auto"/>
              <w:right w:val="nil"/>
            </w:tcBorders>
            <w:shd w:val="clear" w:color="auto" w:fill="3371A5"/>
            <w:hideMark/>
          </w:tcPr>
          <w:p w:rsidR="002172FD" w:rsidRDefault="002172FD" w:rsidP="002172FD">
            <w:pPr>
              <w:spacing w:after="0" w:line="240" w:lineRule="auto"/>
              <w:rPr>
                <w:b/>
                <w:bCs/>
                <w:color w:val="FFFFFF" w:themeColor="background1"/>
                <w:sz w:val="20"/>
                <w:szCs w:val="16"/>
              </w:rPr>
            </w:pPr>
            <w:r>
              <w:rPr>
                <w:b/>
                <w:bCs/>
                <w:color w:val="FFFFFF" w:themeColor="background1"/>
                <w:sz w:val="20"/>
                <w:szCs w:val="16"/>
              </w:rPr>
              <w:t>Se stabilizační rezervou</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2021</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2022</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2023</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2024</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2025</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2026</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2027</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2028</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2029</w:t>
            </w:r>
          </w:p>
        </w:tc>
        <w:tc>
          <w:tcPr>
            <w:tcW w:w="351" w:type="pct"/>
            <w:tcBorders>
              <w:top w:val="single" w:sz="12" w:space="0" w:color="auto"/>
              <w:left w:val="nil"/>
              <w:bottom w:val="single" w:sz="12" w:space="0" w:color="auto"/>
              <w:right w:val="single" w:sz="12"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2030</w:t>
            </w:r>
          </w:p>
        </w:tc>
      </w:tr>
      <w:tr w:rsidR="002172FD" w:rsidTr="002172FD">
        <w:trPr>
          <w:trHeight w:val="290"/>
        </w:trPr>
        <w:tc>
          <w:tcPr>
            <w:tcW w:w="1463"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Emisní strop EU ETS (mil. EUA)</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1 768,07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1 719,69</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1 671,31</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1 622,93</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1 574,55</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1 526,17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1 477,79</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1 429,41</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1 381,03</w:t>
            </w:r>
          </w:p>
        </w:tc>
        <w:tc>
          <w:tcPr>
            <w:tcW w:w="35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1 332,65</w:t>
            </w:r>
          </w:p>
        </w:tc>
      </w:tr>
      <w:tr w:rsidR="002172FD" w:rsidTr="002172FD">
        <w:trPr>
          <w:trHeight w:val="290"/>
        </w:trPr>
        <w:tc>
          <w:tcPr>
            <w:tcW w:w="1463" w:type="pct"/>
            <w:tcBorders>
              <w:top w:val="nil"/>
              <w:left w:val="single" w:sz="12" w:space="0" w:color="auto"/>
              <w:bottom w:val="nil"/>
              <w:right w:val="single" w:sz="12" w:space="0" w:color="auto"/>
            </w:tcBorders>
            <w:vAlign w:val="center"/>
            <w:hideMark/>
          </w:tcPr>
          <w:p w:rsidR="002172FD" w:rsidRDefault="002172FD" w:rsidP="002172FD">
            <w:pPr>
              <w:spacing w:after="0" w:line="240" w:lineRule="auto"/>
              <w:rPr>
                <w:sz w:val="16"/>
                <w:szCs w:val="16"/>
              </w:rPr>
            </w:pPr>
            <w:r>
              <w:rPr>
                <w:sz w:val="16"/>
                <w:szCs w:val="16"/>
              </w:rPr>
              <w:t>Převod do tržní rezervy (mil. EUA)</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312,00</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292,56</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257,45</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226,56</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193,37</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164,17</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132,47</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0,00</w:t>
            </w:r>
          </w:p>
        </w:tc>
        <w:tc>
          <w:tcPr>
            <w:tcW w:w="354" w:type="pct"/>
            <w:tcBorders>
              <w:top w:val="nil"/>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0,00</w:t>
            </w:r>
          </w:p>
        </w:tc>
        <w:tc>
          <w:tcPr>
            <w:tcW w:w="351" w:type="pct"/>
            <w:tcBorders>
              <w:top w:val="nil"/>
              <w:left w:val="single" w:sz="6" w:space="0" w:color="auto"/>
              <w:bottom w:val="nil"/>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0,00</w:t>
            </w:r>
          </w:p>
        </w:tc>
      </w:tr>
      <w:tr w:rsidR="002172FD" w:rsidTr="002172FD">
        <w:trPr>
          <w:trHeight w:val="302"/>
        </w:trPr>
        <w:tc>
          <w:tcPr>
            <w:tcW w:w="1463"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Dražené množství v EU ETS (mil. EUA)</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749,74</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750,23</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766,39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778,33</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792,57</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802,82</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834,12</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933,98</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901,37</w:t>
            </w:r>
          </w:p>
        </w:tc>
        <w:tc>
          <w:tcPr>
            <w:tcW w:w="35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868,76</w:t>
            </w:r>
          </w:p>
        </w:tc>
      </w:tr>
      <w:tr w:rsidR="002172FD" w:rsidTr="002172FD">
        <w:trPr>
          <w:trHeight w:val="290"/>
        </w:trPr>
        <w:tc>
          <w:tcPr>
            <w:tcW w:w="1463" w:type="pct"/>
            <w:tcBorders>
              <w:top w:val="nil"/>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Z toho draženo za ČR (4,53 %, mil. EUA)</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33,96</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33,99</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34,72</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35,26</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35,90</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36,37</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37,79</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42,31</w:t>
            </w:r>
          </w:p>
        </w:tc>
        <w:tc>
          <w:tcPr>
            <w:tcW w:w="354" w:type="pct"/>
            <w:tcBorders>
              <w:top w:val="nil"/>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40,83</w:t>
            </w:r>
          </w:p>
        </w:tc>
        <w:tc>
          <w:tcPr>
            <w:tcW w:w="351" w:type="pct"/>
            <w:tcBorders>
              <w:top w:val="nil"/>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39,36</w:t>
            </w:r>
          </w:p>
        </w:tc>
      </w:tr>
      <w:tr w:rsidR="002172FD" w:rsidTr="002172FD">
        <w:trPr>
          <w:trHeight w:val="290"/>
        </w:trPr>
        <w:tc>
          <w:tcPr>
            <w:tcW w:w="1463" w:type="pct"/>
            <w:tcBorders>
              <w:top w:val="single" w:sz="6"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Cena EUA (EUR)</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12,00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15,00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18,00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21,00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23,00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25,00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27,00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29,00</w:t>
            </w:r>
          </w:p>
        </w:tc>
        <w:tc>
          <w:tcPr>
            <w:tcW w:w="354" w:type="pct"/>
            <w:tcBorders>
              <w:top w:val="single" w:sz="6"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31,00</w:t>
            </w:r>
          </w:p>
        </w:tc>
        <w:tc>
          <w:tcPr>
            <w:tcW w:w="351" w:type="pct"/>
            <w:tcBorders>
              <w:top w:val="single" w:sz="6"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33,00</w:t>
            </w:r>
          </w:p>
        </w:tc>
      </w:tr>
      <w:tr w:rsidR="002172FD" w:rsidTr="002172FD">
        <w:trPr>
          <w:trHeight w:val="302"/>
        </w:trPr>
        <w:tc>
          <w:tcPr>
            <w:tcW w:w="1463" w:type="pct"/>
            <w:tcBorders>
              <w:top w:val="single" w:sz="6"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Výnos ČR (mil. EUR)</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407,56</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509,78</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624,91</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740,42</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825,77</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909,19</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1 020,21</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1 226,97</w:t>
            </w:r>
          </w:p>
        </w:tc>
        <w:tc>
          <w:tcPr>
            <w:tcW w:w="354" w:type="pct"/>
            <w:tcBorders>
              <w:top w:val="single" w:sz="6"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1 265,80</w:t>
            </w:r>
          </w:p>
        </w:tc>
        <w:tc>
          <w:tcPr>
            <w:tcW w:w="351" w:type="pct"/>
            <w:tcBorders>
              <w:top w:val="single" w:sz="6"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1 298,72</w:t>
            </w:r>
          </w:p>
        </w:tc>
      </w:tr>
    </w:tbl>
    <w:p w:rsidR="002172FD" w:rsidRDefault="002172FD" w:rsidP="002172FD"/>
    <w:p w:rsidR="002172FD" w:rsidRDefault="002172FD" w:rsidP="002172FD">
      <w:r>
        <w:br w:type="page"/>
      </w:r>
    </w:p>
    <w:p w:rsidR="002172FD" w:rsidRDefault="002172FD" w:rsidP="002172FD"/>
    <w:tbl>
      <w:tblPr>
        <w:tblW w:w="5000" w:type="pct"/>
        <w:tblCellMar>
          <w:left w:w="70" w:type="dxa"/>
          <w:right w:w="70" w:type="dxa"/>
        </w:tblCellMar>
        <w:tblLook w:val="04A0" w:firstRow="1" w:lastRow="0" w:firstColumn="1" w:lastColumn="0" w:noHBand="0" w:noVBand="1"/>
      </w:tblPr>
      <w:tblGrid>
        <w:gridCol w:w="2696"/>
        <w:gridCol w:w="653"/>
        <w:gridCol w:w="652"/>
        <w:gridCol w:w="652"/>
        <w:gridCol w:w="652"/>
        <w:gridCol w:w="652"/>
        <w:gridCol w:w="652"/>
        <w:gridCol w:w="652"/>
        <w:gridCol w:w="652"/>
        <w:gridCol w:w="652"/>
        <w:gridCol w:w="647"/>
      </w:tblGrid>
      <w:tr w:rsidR="002172FD" w:rsidTr="002172FD">
        <w:trPr>
          <w:trHeight w:val="302"/>
        </w:trPr>
        <w:tc>
          <w:tcPr>
            <w:tcW w:w="1463" w:type="pct"/>
            <w:tcBorders>
              <w:top w:val="single" w:sz="12" w:space="0" w:color="auto"/>
              <w:left w:val="single" w:sz="12" w:space="0" w:color="auto"/>
              <w:bottom w:val="single" w:sz="12" w:space="0" w:color="auto"/>
              <w:right w:val="nil"/>
            </w:tcBorders>
            <w:shd w:val="clear" w:color="auto" w:fill="3371A5"/>
            <w:hideMark/>
          </w:tcPr>
          <w:p w:rsidR="002172FD" w:rsidRDefault="002172FD" w:rsidP="002172FD">
            <w:pPr>
              <w:spacing w:after="0" w:line="240" w:lineRule="auto"/>
              <w:rPr>
                <w:b/>
                <w:bCs/>
                <w:color w:val="FFFFFF" w:themeColor="background1"/>
                <w:sz w:val="20"/>
                <w:szCs w:val="16"/>
              </w:rPr>
            </w:pPr>
            <w:r>
              <w:rPr>
                <w:b/>
                <w:bCs/>
                <w:color w:val="FFFFFF" w:themeColor="background1"/>
                <w:sz w:val="20"/>
                <w:szCs w:val="16"/>
              </w:rPr>
              <w:t>Náklady podnikové sféry ČR</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2021</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2022</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2023</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2024</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2025</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2026</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2027</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2028</w:t>
            </w:r>
          </w:p>
        </w:tc>
        <w:tc>
          <w:tcPr>
            <w:tcW w:w="354" w:type="pct"/>
            <w:tcBorders>
              <w:top w:val="single" w:sz="12" w:space="0" w:color="auto"/>
              <w:left w:val="nil"/>
              <w:bottom w:val="single" w:sz="12" w:space="0" w:color="auto"/>
              <w:right w:val="nil"/>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2029</w:t>
            </w:r>
          </w:p>
        </w:tc>
        <w:tc>
          <w:tcPr>
            <w:tcW w:w="351" w:type="pct"/>
            <w:tcBorders>
              <w:top w:val="single" w:sz="12" w:space="0" w:color="auto"/>
              <w:left w:val="nil"/>
              <w:bottom w:val="single" w:sz="12" w:space="0" w:color="auto"/>
              <w:right w:val="single" w:sz="12" w:space="0" w:color="auto"/>
            </w:tcBorders>
            <w:shd w:val="clear" w:color="auto" w:fill="3371A5"/>
            <w:hideMark/>
          </w:tcPr>
          <w:p w:rsidR="002172FD" w:rsidRDefault="002172FD" w:rsidP="002172FD">
            <w:pPr>
              <w:spacing w:after="0" w:line="240" w:lineRule="auto"/>
              <w:jc w:val="center"/>
              <w:rPr>
                <w:b/>
                <w:bCs/>
                <w:color w:val="FFFFFF" w:themeColor="background1"/>
                <w:sz w:val="20"/>
                <w:szCs w:val="16"/>
              </w:rPr>
            </w:pPr>
            <w:r>
              <w:rPr>
                <w:b/>
                <w:bCs/>
                <w:color w:val="FFFFFF" w:themeColor="background1"/>
                <w:sz w:val="20"/>
                <w:szCs w:val="16"/>
              </w:rPr>
              <w:t>2030</w:t>
            </w:r>
          </w:p>
        </w:tc>
      </w:tr>
      <w:tr w:rsidR="002172FD" w:rsidTr="002172FD">
        <w:trPr>
          <w:trHeight w:val="290"/>
        </w:trPr>
        <w:tc>
          <w:tcPr>
            <w:tcW w:w="1463" w:type="pct"/>
            <w:tcBorders>
              <w:top w:val="single" w:sz="12" w:space="0" w:color="auto"/>
              <w:left w:val="single" w:sz="12" w:space="0" w:color="auto"/>
              <w:bottom w:val="single" w:sz="6"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Emise podniků v ETS (mil. t CO2 </w:t>
            </w:r>
            <w:proofErr w:type="spellStart"/>
            <w:r>
              <w:rPr>
                <w:sz w:val="16"/>
                <w:szCs w:val="16"/>
              </w:rPr>
              <w:t>eq</w:t>
            </w:r>
            <w:proofErr w:type="spellEnd"/>
            <w:r>
              <w:rPr>
                <w:sz w:val="16"/>
                <w:szCs w:val="16"/>
              </w:rPr>
              <w:t>.)*</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65,45</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64,60</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63,77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62,93</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62,11</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58,85</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55,67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52,57</w:t>
            </w:r>
          </w:p>
        </w:tc>
        <w:tc>
          <w:tcPr>
            <w:tcW w:w="354" w:type="pct"/>
            <w:tcBorders>
              <w:top w:val="single" w:sz="12" w:space="0" w:color="auto"/>
              <w:left w:val="single" w:sz="6" w:space="0" w:color="auto"/>
              <w:bottom w:val="single" w:sz="6"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49,55</w:t>
            </w:r>
          </w:p>
        </w:tc>
        <w:tc>
          <w:tcPr>
            <w:tcW w:w="351" w:type="pct"/>
            <w:tcBorders>
              <w:top w:val="single" w:sz="12" w:space="0" w:color="auto"/>
              <w:left w:val="single" w:sz="6" w:space="0" w:color="auto"/>
              <w:bottom w:val="single" w:sz="6"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46,61</w:t>
            </w:r>
          </w:p>
        </w:tc>
      </w:tr>
      <w:tr w:rsidR="002172FD" w:rsidTr="002172FD">
        <w:trPr>
          <w:trHeight w:val="302"/>
        </w:trPr>
        <w:tc>
          <w:tcPr>
            <w:tcW w:w="1463" w:type="pct"/>
            <w:tcBorders>
              <w:top w:val="single" w:sz="6" w:space="0" w:color="auto"/>
              <w:left w:val="single" w:sz="12" w:space="0" w:color="auto"/>
              <w:bottom w:val="nil"/>
              <w:right w:val="single" w:sz="12" w:space="0" w:color="auto"/>
            </w:tcBorders>
            <w:vAlign w:val="center"/>
            <w:hideMark/>
          </w:tcPr>
          <w:p w:rsidR="002172FD" w:rsidRDefault="002172FD" w:rsidP="002172FD">
            <w:pPr>
              <w:spacing w:after="0" w:line="240" w:lineRule="auto"/>
              <w:rPr>
                <w:sz w:val="16"/>
                <w:szCs w:val="16"/>
              </w:rPr>
            </w:pPr>
            <w:r>
              <w:rPr>
                <w:sz w:val="16"/>
                <w:szCs w:val="16"/>
              </w:rPr>
              <w:t xml:space="preserve">Bezplatná alokace dle </w:t>
            </w:r>
            <w:proofErr w:type="spellStart"/>
            <w:r>
              <w:rPr>
                <w:sz w:val="16"/>
                <w:szCs w:val="16"/>
              </w:rPr>
              <w:t>čl</w:t>
            </w:r>
            <w:proofErr w:type="spellEnd"/>
            <w:r>
              <w:rPr>
                <w:sz w:val="16"/>
                <w:szCs w:val="16"/>
              </w:rPr>
              <w:t xml:space="preserve"> 10a (mil. EUA)</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15,87</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13,22</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10,58</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7,93</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5,29</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2,64</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0,00</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0,00</w:t>
            </w:r>
          </w:p>
        </w:tc>
        <w:tc>
          <w:tcPr>
            <w:tcW w:w="354" w:type="pct"/>
            <w:tcBorders>
              <w:top w:val="single" w:sz="6" w:space="0" w:color="auto"/>
              <w:left w:val="single" w:sz="6" w:space="0" w:color="auto"/>
              <w:bottom w:val="nil"/>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0,00</w:t>
            </w:r>
          </w:p>
        </w:tc>
        <w:tc>
          <w:tcPr>
            <w:tcW w:w="351" w:type="pct"/>
            <w:tcBorders>
              <w:top w:val="single" w:sz="6" w:space="0" w:color="auto"/>
              <w:left w:val="single" w:sz="6" w:space="0" w:color="auto"/>
              <w:bottom w:val="nil"/>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0,00</w:t>
            </w:r>
          </w:p>
        </w:tc>
      </w:tr>
      <w:tr w:rsidR="002172FD" w:rsidTr="002172FD">
        <w:trPr>
          <w:trHeight w:val="302"/>
        </w:trPr>
        <w:tc>
          <w:tcPr>
            <w:tcW w:w="1463" w:type="pct"/>
            <w:tcBorders>
              <w:top w:val="single" w:sz="12" w:space="0" w:color="auto"/>
              <w:left w:val="single" w:sz="12" w:space="0" w:color="auto"/>
              <w:bottom w:val="single" w:sz="12" w:space="0" w:color="auto"/>
              <w:right w:val="single" w:sz="12" w:space="0" w:color="auto"/>
            </w:tcBorders>
            <w:vAlign w:val="center"/>
            <w:hideMark/>
          </w:tcPr>
          <w:p w:rsidR="002172FD" w:rsidRDefault="002172FD" w:rsidP="002172FD">
            <w:pPr>
              <w:spacing w:after="0" w:line="240" w:lineRule="auto"/>
              <w:rPr>
                <w:sz w:val="16"/>
                <w:szCs w:val="16"/>
              </w:rPr>
            </w:pPr>
            <w:r>
              <w:rPr>
                <w:sz w:val="16"/>
                <w:szCs w:val="16"/>
              </w:rPr>
              <w:t>Dokupovaný objem (mil. EUA)</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50,31</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50,00</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49,69</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49,38</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49,09</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46,36</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44,19</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41,44</w:t>
            </w:r>
          </w:p>
        </w:tc>
        <w:tc>
          <w:tcPr>
            <w:tcW w:w="354" w:type="pct"/>
            <w:tcBorders>
              <w:top w:val="single" w:sz="12" w:space="0" w:color="auto"/>
              <w:left w:val="single" w:sz="6" w:space="0" w:color="auto"/>
              <w:bottom w:val="single" w:sz="12" w:space="0" w:color="auto"/>
              <w:right w:val="single" w:sz="6" w:space="0" w:color="auto"/>
            </w:tcBorders>
            <w:vAlign w:val="center"/>
            <w:hideMark/>
          </w:tcPr>
          <w:p w:rsidR="002172FD" w:rsidRDefault="002172FD" w:rsidP="002172FD">
            <w:pPr>
              <w:spacing w:after="0" w:line="240" w:lineRule="auto"/>
              <w:jc w:val="right"/>
              <w:rPr>
                <w:sz w:val="14"/>
                <w:szCs w:val="14"/>
              </w:rPr>
            </w:pPr>
            <w:r>
              <w:rPr>
                <w:sz w:val="14"/>
                <w:szCs w:val="14"/>
              </w:rPr>
              <w:t>38,77</w:t>
            </w:r>
          </w:p>
        </w:tc>
        <w:tc>
          <w:tcPr>
            <w:tcW w:w="351" w:type="pct"/>
            <w:tcBorders>
              <w:top w:val="single" w:sz="12" w:space="0" w:color="auto"/>
              <w:left w:val="single" w:sz="6" w:space="0" w:color="auto"/>
              <w:bottom w:val="single" w:sz="12" w:space="0" w:color="auto"/>
              <w:right w:val="single" w:sz="12" w:space="0" w:color="auto"/>
            </w:tcBorders>
            <w:vAlign w:val="center"/>
            <w:hideMark/>
          </w:tcPr>
          <w:p w:rsidR="002172FD" w:rsidRDefault="002172FD" w:rsidP="002172FD">
            <w:pPr>
              <w:spacing w:after="0" w:line="240" w:lineRule="auto"/>
              <w:jc w:val="right"/>
              <w:rPr>
                <w:sz w:val="14"/>
                <w:szCs w:val="14"/>
              </w:rPr>
            </w:pPr>
            <w:r>
              <w:rPr>
                <w:sz w:val="14"/>
                <w:szCs w:val="14"/>
              </w:rPr>
              <w:t>36,18</w:t>
            </w:r>
          </w:p>
        </w:tc>
      </w:tr>
      <w:tr w:rsidR="002172FD" w:rsidTr="002172FD">
        <w:trPr>
          <w:trHeight w:val="290"/>
        </w:trPr>
        <w:tc>
          <w:tcPr>
            <w:tcW w:w="1463" w:type="pct"/>
            <w:tcBorders>
              <w:top w:val="nil"/>
              <w:left w:val="single" w:sz="12" w:space="0" w:color="auto"/>
              <w:bottom w:val="nil"/>
              <w:right w:val="single" w:sz="12" w:space="0" w:color="auto"/>
            </w:tcBorders>
            <w:shd w:val="solid" w:color="FFCC00" w:fill="auto"/>
            <w:vAlign w:val="center"/>
            <w:hideMark/>
          </w:tcPr>
          <w:p w:rsidR="002172FD" w:rsidRDefault="002172FD" w:rsidP="002172FD">
            <w:pPr>
              <w:spacing w:after="0" w:line="240" w:lineRule="auto"/>
              <w:rPr>
                <w:sz w:val="16"/>
                <w:szCs w:val="16"/>
              </w:rPr>
            </w:pPr>
            <w:r>
              <w:rPr>
                <w:sz w:val="16"/>
                <w:szCs w:val="16"/>
              </w:rPr>
              <w:t>Náklady na koupi EUA (mil. EUR) - bez rezervy</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503,08</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574,94</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645,93</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716,07</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785,38</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834,41</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883,86</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911,76</w:t>
            </w:r>
          </w:p>
        </w:tc>
        <w:tc>
          <w:tcPr>
            <w:tcW w:w="354" w:type="pct"/>
            <w:tcBorders>
              <w:top w:val="nil"/>
              <w:left w:val="single" w:sz="6" w:space="0" w:color="auto"/>
              <w:bottom w:val="nil"/>
              <w:right w:val="single" w:sz="6"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930,58</w:t>
            </w:r>
          </w:p>
        </w:tc>
        <w:tc>
          <w:tcPr>
            <w:tcW w:w="351" w:type="pct"/>
            <w:tcBorders>
              <w:top w:val="nil"/>
              <w:left w:val="single" w:sz="6" w:space="0" w:color="auto"/>
              <w:bottom w:val="nil"/>
              <w:right w:val="single" w:sz="12" w:space="0" w:color="auto"/>
            </w:tcBorders>
            <w:shd w:val="solid" w:color="FFCC00" w:fill="auto"/>
            <w:vAlign w:val="center"/>
            <w:hideMark/>
          </w:tcPr>
          <w:p w:rsidR="002172FD" w:rsidRDefault="002172FD" w:rsidP="002172FD">
            <w:pPr>
              <w:spacing w:after="0" w:line="240" w:lineRule="auto"/>
              <w:jc w:val="right"/>
              <w:rPr>
                <w:sz w:val="14"/>
                <w:szCs w:val="14"/>
              </w:rPr>
            </w:pPr>
            <w:r>
              <w:rPr>
                <w:sz w:val="14"/>
                <w:szCs w:val="14"/>
              </w:rPr>
              <w:t>940,79</w:t>
            </w:r>
          </w:p>
        </w:tc>
      </w:tr>
      <w:tr w:rsidR="002172FD" w:rsidTr="002172FD">
        <w:trPr>
          <w:trHeight w:val="302"/>
        </w:trPr>
        <w:tc>
          <w:tcPr>
            <w:tcW w:w="1463" w:type="pct"/>
            <w:tcBorders>
              <w:top w:val="single" w:sz="6" w:space="0" w:color="auto"/>
              <w:left w:val="single" w:sz="12" w:space="0" w:color="auto"/>
              <w:bottom w:val="single" w:sz="12" w:space="0" w:color="auto"/>
              <w:right w:val="single" w:sz="12" w:space="0" w:color="auto"/>
            </w:tcBorders>
            <w:shd w:val="solid" w:color="00FF00" w:fill="auto"/>
            <w:vAlign w:val="center"/>
            <w:hideMark/>
          </w:tcPr>
          <w:p w:rsidR="002172FD" w:rsidRDefault="002172FD" w:rsidP="002172FD">
            <w:pPr>
              <w:spacing w:after="0" w:line="240" w:lineRule="auto"/>
              <w:rPr>
                <w:sz w:val="16"/>
                <w:szCs w:val="16"/>
              </w:rPr>
            </w:pPr>
            <w:r>
              <w:rPr>
                <w:sz w:val="16"/>
                <w:szCs w:val="16"/>
              </w:rPr>
              <w:t>Náklady na koupi EUA (mil. EUR) - s rezervou</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603,70</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749,93</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894,36</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1 037,06</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1 128,98</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1 158,90</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1 193,20</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1 201,86</w:t>
            </w:r>
          </w:p>
        </w:tc>
        <w:tc>
          <w:tcPr>
            <w:tcW w:w="354" w:type="pct"/>
            <w:tcBorders>
              <w:top w:val="single" w:sz="6" w:space="0" w:color="auto"/>
              <w:left w:val="single" w:sz="6" w:space="0" w:color="auto"/>
              <w:bottom w:val="single" w:sz="12" w:space="0" w:color="auto"/>
              <w:right w:val="single" w:sz="6"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1 201,99</w:t>
            </w:r>
          </w:p>
        </w:tc>
        <w:tc>
          <w:tcPr>
            <w:tcW w:w="351" w:type="pct"/>
            <w:tcBorders>
              <w:top w:val="single" w:sz="6" w:space="0" w:color="auto"/>
              <w:left w:val="single" w:sz="6" w:space="0" w:color="auto"/>
              <w:bottom w:val="single" w:sz="12" w:space="0" w:color="auto"/>
              <w:right w:val="single" w:sz="12" w:space="0" w:color="auto"/>
            </w:tcBorders>
            <w:shd w:val="solid" w:color="00FF00" w:fill="auto"/>
            <w:vAlign w:val="center"/>
            <w:hideMark/>
          </w:tcPr>
          <w:p w:rsidR="002172FD" w:rsidRDefault="002172FD" w:rsidP="002172FD">
            <w:pPr>
              <w:spacing w:after="0" w:line="240" w:lineRule="auto"/>
              <w:jc w:val="right"/>
              <w:rPr>
                <w:sz w:val="14"/>
                <w:szCs w:val="14"/>
              </w:rPr>
            </w:pPr>
            <w:r>
              <w:rPr>
                <w:sz w:val="14"/>
                <w:szCs w:val="14"/>
              </w:rPr>
              <w:t>1 194,09</w:t>
            </w:r>
          </w:p>
        </w:tc>
      </w:tr>
      <w:tr w:rsidR="002172FD" w:rsidTr="002172FD">
        <w:trPr>
          <w:trHeight w:val="290"/>
        </w:trPr>
        <w:tc>
          <w:tcPr>
            <w:tcW w:w="4649" w:type="pct"/>
            <w:gridSpan w:val="10"/>
            <w:tcBorders>
              <w:top w:val="single" w:sz="12" w:space="0" w:color="auto"/>
              <w:left w:val="nil"/>
              <w:bottom w:val="nil"/>
              <w:right w:val="nil"/>
            </w:tcBorders>
            <w:hideMark/>
          </w:tcPr>
          <w:p w:rsidR="002172FD" w:rsidRDefault="002172FD" w:rsidP="002172FD">
            <w:pPr>
              <w:spacing w:after="0" w:line="240" w:lineRule="auto"/>
              <w:rPr>
                <w:i/>
                <w:iCs/>
                <w:sz w:val="16"/>
                <w:szCs w:val="16"/>
              </w:rPr>
            </w:pPr>
            <w:r>
              <w:rPr>
                <w:i/>
                <w:iCs/>
                <w:sz w:val="16"/>
                <w:szCs w:val="16"/>
              </w:rPr>
              <w:t xml:space="preserve">* Zdroj: Evropská komise: EU </w:t>
            </w:r>
            <w:proofErr w:type="spellStart"/>
            <w:r>
              <w:rPr>
                <w:i/>
                <w:iCs/>
                <w:sz w:val="16"/>
                <w:szCs w:val="16"/>
              </w:rPr>
              <w:t>Energy</w:t>
            </w:r>
            <w:proofErr w:type="spellEnd"/>
            <w:r>
              <w:rPr>
                <w:i/>
                <w:iCs/>
                <w:sz w:val="16"/>
                <w:szCs w:val="16"/>
              </w:rPr>
              <w:t xml:space="preserve">, transport and GHG </w:t>
            </w:r>
            <w:proofErr w:type="spellStart"/>
            <w:r>
              <w:rPr>
                <w:i/>
                <w:iCs/>
                <w:sz w:val="16"/>
                <w:szCs w:val="16"/>
              </w:rPr>
              <w:t>emissions</w:t>
            </w:r>
            <w:proofErr w:type="spellEnd"/>
            <w:r>
              <w:rPr>
                <w:i/>
                <w:iCs/>
                <w:sz w:val="16"/>
                <w:szCs w:val="16"/>
              </w:rPr>
              <w:t xml:space="preserve"> - </w:t>
            </w:r>
            <w:proofErr w:type="spellStart"/>
            <w:r>
              <w:rPr>
                <w:i/>
                <w:iCs/>
                <w:sz w:val="16"/>
                <w:szCs w:val="16"/>
              </w:rPr>
              <w:t>Trends</w:t>
            </w:r>
            <w:proofErr w:type="spellEnd"/>
            <w:r>
              <w:rPr>
                <w:i/>
                <w:iCs/>
                <w:sz w:val="16"/>
                <w:szCs w:val="16"/>
              </w:rPr>
              <w:t xml:space="preserve"> to 2050 (http://ec.europa.eu/clima/policies/2030/models/eu_trends_2050_en.pdf)</w:t>
            </w:r>
          </w:p>
        </w:tc>
        <w:tc>
          <w:tcPr>
            <w:tcW w:w="351" w:type="pct"/>
          </w:tcPr>
          <w:p w:rsidR="002172FD" w:rsidRDefault="002172FD" w:rsidP="002172FD">
            <w:pPr>
              <w:spacing w:after="0" w:line="240" w:lineRule="auto"/>
              <w:jc w:val="right"/>
              <w:rPr>
                <w:sz w:val="16"/>
                <w:szCs w:val="16"/>
              </w:rPr>
            </w:pPr>
          </w:p>
        </w:tc>
      </w:tr>
    </w:tbl>
    <w:p w:rsidR="002172FD" w:rsidRDefault="002172FD" w:rsidP="002172FD">
      <w:pPr>
        <w:spacing w:after="120"/>
        <w:jc w:val="right"/>
        <w:rPr>
          <w:i/>
        </w:rPr>
      </w:pPr>
      <w:r>
        <w:rPr>
          <w:i/>
        </w:rPr>
        <w:t>Zdroj: Expertní odhad MŽP</w:t>
      </w:r>
    </w:p>
    <w:p w:rsidR="002172FD" w:rsidRPr="00595D34" w:rsidRDefault="002172FD" w:rsidP="002172FD">
      <w:pPr>
        <w:overflowPunct w:val="0"/>
        <w:autoSpaceDE w:val="0"/>
        <w:autoSpaceDN w:val="0"/>
        <w:adjustRightInd w:val="0"/>
        <w:spacing w:after="240"/>
        <w:jc w:val="both"/>
        <w:textAlignment w:val="baseline"/>
        <w:rPr>
          <w:rFonts w:cstheme="minorHAnsi"/>
          <w:b/>
          <w:bCs/>
        </w:rPr>
      </w:pPr>
      <w:r w:rsidRPr="00595D34">
        <w:rPr>
          <w:rFonts w:cstheme="minorHAnsi"/>
          <w:b/>
          <w:bCs/>
        </w:rPr>
        <w:t>Předpokládaná spotřeba elektřiny</w:t>
      </w:r>
    </w:p>
    <w:p w:rsidR="002172FD" w:rsidRDefault="002172FD" w:rsidP="002172FD">
      <w:pPr>
        <w:overflowPunct w:val="0"/>
        <w:autoSpaceDE w:val="0"/>
        <w:autoSpaceDN w:val="0"/>
        <w:adjustRightInd w:val="0"/>
        <w:spacing w:after="240"/>
        <w:jc w:val="both"/>
        <w:textAlignment w:val="baseline"/>
        <w:rPr>
          <w:rFonts w:cstheme="minorHAnsi"/>
          <w:bCs/>
        </w:rPr>
      </w:pPr>
      <w:r w:rsidRPr="00595D34">
        <w:rPr>
          <w:rFonts w:cstheme="minorHAnsi"/>
          <w:bCs/>
        </w:rPr>
        <w:t>Připraveny byly celkem 3 scénáře spotřeby elektřiny - nízký, referenční a vysoký - vycházející z</w:t>
      </w:r>
      <w:r>
        <w:rPr>
          <w:rFonts w:cstheme="minorHAnsi"/>
          <w:bCs/>
        </w:rPr>
        <w:t> </w:t>
      </w:r>
      <w:r w:rsidRPr="00595D34">
        <w:rPr>
          <w:rFonts w:cstheme="minorHAnsi"/>
          <w:bCs/>
        </w:rPr>
        <w:t>makroekonomického modelu MPO na bázi input-output metodiky. Vývoj spotřeby elektřiny netto a</w:t>
      </w:r>
      <w:r>
        <w:rPr>
          <w:rFonts w:cstheme="minorHAnsi"/>
          <w:bCs/>
        </w:rPr>
        <w:t> </w:t>
      </w:r>
      <w:r w:rsidRPr="00595D34">
        <w:rPr>
          <w:rFonts w:cstheme="minorHAnsi"/>
          <w:bCs/>
        </w:rPr>
        <w:t xml:space="preserve">spotřeby elektřiny bez zahrnutí spotřeby v rámci </w:t>
      </w:r>
      <w:proofErr w:type="spellStart"/>
      <w:r w:rsidRPr="00595D34">
        <w:rPr>
          <w:rFonts w:cstheme="minorHAnsi"/>
          <w:bCs/>
        </w:rPr>
        <w:t>elektromobility</w:t>
      </w:r>
      <w:proofErr w:type="spellEnd"/>
      <w:r w:rsidRPr="00595D34">
        <w:rPr>
          <w:rFonts w:cstheme="minorHAnsi"/>
          <w:bCs/>
        </w:rPr>
        <w:t xml:space="preserve"> ukazuje </w:t>
      </w:r>
      <w:r>
        <w:t>graf</w:t>
      </w:r>
      <w:r w:rsidRPr="00595D34">
        <w:t xml:space="preserve"> uvedený </w:t>
      </w:r>
      <w:r w:rsidRPr="00595D34">
        <w:rPr>
          <w:rFonts w:cstheme="minorHAnsi"/>
          <w:bCs/>
        </w:rPr>
        <w:t>níže. Pro tvorbu scénářů spotřeby byl využit předpoklad vývoje HDP (potažmo HPH) na základě prognóz MPO a</w:t>
      </w:r>
      <w:r>
        <w:rPr>
          <w:rFonts w:cstheme="minorHAnsi"/>
          <w:bCs/>
        </w:rPr>
        <w:t> </w:t>
      </w:r>
      <w:r w:rsidRPr="00595D34">
        <w:rPr>
          <w:rFonts w:cstheme="minorHAnsi"/>
          <w:bCs/>
        </w:rPr>
        <w:t>MF, přičemž prognóza MPO je konzervativnější. Prognóza vychází z referenční spotřeby elektřiny v roce 2013 na úrovni podniků s odstraněním možných výkyvů v rámci tohoto roku. Vývoj spotřeby elektřiny je pak navázán na vývoj HPH v daném odvětví s přihlédnutím k vývoji elektroenergetické náročnosti tvorby HPH.</w:t>
      </w:r>
      <w:bookmarkStart w:id="341" w:name="_Toc396923119"/>
    </w:p>
    <w:p w:rsidR="002172FD" w:rsidRPr="00595D34" w:rsidRDefault="002172FD" w:rsidP="002172FD">
      <w:pPr>
        <w:overflowPunct w:val="0"/>
        <w:autoSpaceDE w:val="0"/>
        <w:autoSpaceDN w:val="0"/>
        <w:adjustRightInd w:val="0"/>
        <w:spacing w:after="0"/>
        <w:jc w:val="both"/>
        <w:textAlignment w:val="baseline"/>
        <w:rPr>
          <w:rFonts w:cstheme="minorHAnsi"/>
          <w:i/>
        </w:rPr>
      </w:pPr>
      <w:r w:rsidRPr="00595D34">
        <w:rPr>
          <w:b/>
        </w:rPr>
        <w:t xml:space="preserve">Graf: </w:t>
      </w:r>
      <w:r w:rsidRPr="00595D34">
        <w:rPr>
          <w:rFonts w:cstheme="minorHAnsi"/>
          <w:i/>
        </w:rPr>
        <w:t>Srovnání scénářů tuzemské netto spotřeby elektřiny</w:t>
      </w:r>
      <w:bookmarkEnd w:id="341"/>
    </w:p>
    <w:p w:rsidR="002172FD" w:rsidRPr="0014490D" w:rsidRDefault="002172FD" w:rsidP="002172FD">
      <w:pPr>
        <w:pStyle w:val="Odstavecseseznamem"/>
        <w:spacing w:before="120" w:after="120" w:line="240" w:lineRule="auto"/>
        <w:ind w:left="0"/>
        <w:jc w:val="center"/>
        <w:rPr>
          <w:sz w:val="24"/>
        </w:rPr>
      </w:pPr>
      <w:r w:rsidRPr="0014490D">
        <w:rPr>
          <w:rFonts w:cstheme="minorHAnsi"/>
          <w:noProof/>
          <w:lang w:eastAsia="cs-CZ"/>
        </w:rPr>
        <w:drawing>
          <wp:inline distT="0" distB="0" distL="0" distR="0" wp14:anchorId="13391022" wp14:editId="0F2CA067">
            <wp:extent cx="5760000" cy="3780000"/>
            <wp:effectExtent l="0" t="0" r="12700" b="11430"/>
            <wp:docPr id="82"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72FD" w:rsidRDefault="002172FD" w:rsidP="002172FD">
      <w:pPr>
        <w:pStyle w:val="Bullet1"/>
        <w:numPr>
          <w:ilvl w:val="0"/>
          <w:numId w:val="0"/>
        </w:numPr>
        <w:spacing w:after="240"/>
        <w:jc w:val="right"/>
        <w:rPr>
          <w:rFonts w:asciiTheme="minorHAnsi" w:hAnsiTheme="minorHAnsi" w:cstheme="minorHAnsi"/>
          <w:i/>
          <w:lang w:val="cs-CZ"/>
        </w:rPr>
      </w:pPr>
      <w:r w:rsidRPr="0014490D">
        <w:rPr>
          <w:rFonts w:asciiTheme="minorHAnsi" w:hAnsiTheme="minorHAnsi" w:cstheme="minorHAnsi"/>
          <w:i/>
        </w:rPr>
        <w:t xml:space="preserve">Zdroj: </w:t>
      </w:r>
      <w:r>
        <w:rPr>
          <w:rFonts w:asciiTheme="minorHAnsi" w:hAnsiTheme="minorHAnsi" w:cstheme="minorHAnsi"/>
          <w:i/>
        </w:rPr>
        <w:t>Expertní analýza MPO, predikce MF</w:t>
      </w:r>
    </w:p>
    <w:p w:rsidR="002172FD" w:rsidRPr="003E48AD" w:rsidRDefault="002172FD" w:rsidP="002172FD">
      <w:pPr>
        <w:jc w:val="both"/>
        <w:rPr>
          <w:b/>
          <w:sz w:val="24"/>
        </w:rPr>
      </w:pPr>
      <w:r>
        <w:rPr>
          <w:b/>
          <w:sz w:val="24"/>
        </w:rPr>
        <w:lastRenderedPageBreak/>
        <w:t>Dodatečné informace k p</w:t>
      </w:r>
      <w:r w:rsidRPr="003E48AD">
        <w:rPr>
          <w:b/>
          <w:sz w:val="24"/>
        </w:rPr>
        <w:t>osouzení vlivu investice do jaderných zdrojů v rámci Strategie jaderné energetiky v České republice</w:t>
      </w:r>
      <w:r>
        <w:rPr>
          <w:b/>
          <w:sz w:val="24"/>
        </w:rPr>
        <w:t xml:space="preserve"> z hlediska dopadů na státní rozpočet</w:t>
      </w:r>
    </w:p>
    <w:p w:rsidR="002172FD" w:rsidRDefault="002172FD" w:rsidP="002172FD">
      <w:pPr>
        <w:jc w:val="both"/>
      </w:pPr>
      <w:r w:rsidRPr="003B4B56">
        <w:rPr>
          <w:rFonts w:cs="Arial"/>
        </w:rPr>
        <w:t xml:space="preserve">Z principu se nejedná o zajištění návratnosti investice pro investora, ale přenesení investorského rizika na stát. Při přímé výstavbě státem lze aplikovat i předchozí opatření na zajištění návratnosti – </w:t>
      </w:r>
      <w:proofErr w:type="spellStart"/>
      <w:r w:rsidRPr="003B4B56">
        <w:rPr>
          <w:rFonts w:cs="Arial"/>
        </w:rPr>
        <w:t>CfD</w:t>
      </w:r>
      <w:proofErr w:type="spellEnd"/>
      <w:r w:rsidRPr="003B4B56">
        <w:rPr>
          <w:rFonts w:cs="Arial"/>
        </w:rPr>
        <w:t xml:space="preserve">, přímá výkupní cena, zelené bonusy. Průběžné placení z rozpočtu nebo prostřednictvím </w:t>
      </w:r>
      <w:r>
        <w:t>dluhového financování, tj. emisí státních dluhopisů.</w:t>
      </w:r>
    </w:p>
    <w:p w:rsidR="002172FD" w:rsidRPr="003B4B56" w:rsidRDefault="002172FD" w:rsidP="002172FD">
      <w:pPr>
        <w:jc w:val="both"/>
        <w:rPr>
          <w:rFonts w:cs="Arial"/>
        </w:rPr>
      </w:pPr>
      <w:r w:rsidRPr="00990CEA">
        <w:t>V případě plné angažovanosti státu na realizaci investice, kdy v ideálním případě plánované výdaje budou dodrženy, lze v ročních státních rozpočtech předpokládat finanční dopad investice</w:t>
      </w:r>
      <w:r>
        <w:t xml:space="preserve"> do jednoho jaderného bloku</w:t>
      </w:r>
      <w:r w:rsidRPr="00990CEA">
        <w:t xml:space="preserve"> v řádu maximálně jednotek procent</w:t>
      </w:r>
      <w:r>
        <w:t>.</w:t>
      </w:r>
      <w:r w:rsidRPr="00990CEA">
        <w:t xml:space="preserve"> </w:t>
      </w:r>
      <w:r>
        <w:t>D</w:t>
      </w:r>
      <w:r w:rsidRPr="00990CEA">
        <w:t xml:space="preserve">opad investice do výstavby jaderné elektrárny bude mít samozřejmě vliv na strukturu výdajů státního rozpočtu, kdy budou muset být omezeny jiné výdaje státu. Se změnou struktury rozpočtu souvisí i vliv investice na výši státního dluhu, např. při plánovaném schodku ve výši 80 mld. Kč by byl vliv na výši schodku, v letech nejvyšších plánovaných výdajů (11,8 mld. Kč) v řádu desítek procent a na celkovou úroveň státního dluhu v řádech jednotek procent. </w:t>
      </w:r>
    </w:p>
    <w:p w:rsidR="002172FD" w:rsidRDefault="002172FD" w:rsidP="002172FD">
      <w:pPr>
        <w:jc w:val="both"/>
      </w:pPr>
      <w:r w:rsidRPr="00990CEA">
        <w:t>V případě investic do jaderných zdrojů financovaných státním rozpočtem dojde k ovlivnění výše schodku státního rozpočtu, jehož výše společně se splátkami státního dluhu ovlivňuje hrubou výpůjční potřebu centrální vlády. V případě kladné hrubé výpůjční potřeby dojde k financování této potřeby pomocí dluhových instrumentů, což v případě vyšší hrubé výpůjční potřeby než je celková výše splátek státního dluhu, povede ke zvýšení hrubého státního dluhu ve výši rozdílu celkových splátek státního dluhu a hrubé výpůjční potřeby.</w:t>
      </w:r>
    </w:p>
    <w:p w:rsidR="002172FD" w:rsidRDefault="002172FD" w:rsidP="002172FD">
      <w:pPr>
        <w:jc w:val="both"/>
      </w:pPr>
      <w:r w:rsidRPr="00990CEA">
        <w:t>V případě investic do jaderných zdrojů financovaných dluhovými instrumenty mimo státní rozpočet je nutné podmínit tuto variantu financování zákonem o státním dluhopisovém programu na úhradu investic do jaderných zdrojů, který umožní vydání dluhopisů ve výši plánované investice. Při této variantě financování investic do jaderných zdrojů dojde k navýšení státního dluhu o výši této investice.</w:t>
      </w:r>
      <w:r>
        <w:t xml:space="preserve"> Hrubý státní dluh závisí na deficitu státního rozpočtu a formě tohoto deficitního financování. V případě, že by byl investiční záměr financován v celé výši pomocí dluhového financování, tj. emisí státních dluhopisů, byl by dopad ve výši této investice.  Jen pro informaci, v současné době činí hrubý státní dluh 1683 mld. Kč. V příštím roce je plánována stabilizace hrubého státního dluhu na stejné úrovni. Pokud by došlo k investici 5,4 mld. EUR, tj. při kurzu 27,5 CZK/EUR celkem 148,5 mld. Kč, jednalo by se o nárůst 8,8%. </w:t>
      </w:r>
    </w:p>
    <w:p w:rsidR="00C159C6" w:rsidRDefault="002172FD" w:rsidP="002172FD">
      <w:pPr>
        <w:jc w:val="both"/>
      </w:pPr>
      <w:r>
        <w:t xml:space="preserve">Pokud budeme brát výše investice v jednotlivých letech jako závazné, budeme předpokládat, že dojde k dluhovému financování, tj. emisím státních dluhopisů pro pokrytí investičního záměru, určíme nyní pevný měnový kurz 27,5 CZK/EUR a průměrný výnos desetiletých státních dluhopisů v roce 2015 a v dalších letech ve výši 2,4% </w:t>
      </w:r>
      <w:proofErr w:type="spellStart"/>
      <w:proofErr w:type="gramStart"/>
      <w:r>
        <w:t>p.a</w:t>
      </w:r>
      <w:proofErr w:type="spellEnd"/>
      <w:r>
        <w:t>.</w:t>
      </w:r>
      <w:proofErr w:type="gramEnd"/>
      <w:r>
        <w:t xml:space="preserve"> (dle Makroekonomické predikce Ministerstva financí – Červenec 2014). Při těchto předpokladech se dá říci, že při dodržení přepokládaných výdajů, které budou financovány emisí dluhových cenných papírů, dojde, </w:t>
      </w:r>
      <w:proofErr w:type="spellStart"/>
      <w:r w:rsidRPr="003E48AD">
        <w:rPr>
          <w:i/>
        </w:rPr>
        <w:t>ceteris</w:t>
      </w:r>
      <w:proofErr w:type="spellEnd"/>
      <w:r w:rsidRPr="003E48AD">
        <w:rPr>
          <w:i/>
        </w:rPr>
        <w:t xml:space="preserve"> </w:t>
      </w:r>
      <w:proofErr w:type="spellStart"/>
      <w:r w:rsidRPr="003E48AD">
        <w:rPr>
          <w:i/>
        </w:rPr>
        <w:t>paribus</w:t>
      </w:r>
      <w:proofErr w:type="spellEnd"/>
      <w:r>
        <w:t>, k navýšení hrubého státního dluhu přesně ve výši dané investice v jednotlivých letech. Průměrné roční úrokové náklady dluhového financování se pak budou odvíjet od situace na kapitálovém trhu, v tomto zjednodušeném modelu, se bud</w:t>
      </w:r>
      <w:r w:rsidR="00C159C6">
        <w:t>ou pohybovat ve výši 2,4% p. a.</w:t>
      </w:r>
    </w:p>
    <w:p w:rsidR="002172FD" w:rsidRDefault="002172FD" w:rsidP="002172FD">
      <w:pPr>
        <w:jc w:val="both"/>
      </w:pPr>
      <w:r>
        <w:t xml:space="preserve">Tento zjednodušený scénář dluhového financování zmíněného investičního záměru by byl prakticky stejný při odlišných parametrech. Jinými slovy, pokud budeme uvažovat dluhové profinancování </w:t>
      </w:r>
      <w:r>
        <w:lastRenderedPageBreak/>
        <w:t xml:space="preserve">investice, dojde při realizaci investice ke zvýšení hrubého státního dluhu. Ovlivnění salda státního rozpočtu pak dojde o úrokové výdaje spojené s dluhopisovými instrumenty pokrývající zmíněnou kumulativní výši investice. Ve výsledku, pokud bude zvýšen deficit z titulu úrokových nákladů dluhových instrumentů financující tento investiční záměr kryt dalšími dluhovými instrumenty, dojde i díky tomuto k navýšení hrubého státního dluhu. Výši těchto dopadů však nelze predikovat dle zjednodušeného scénáře, jelikož existuje celá řada faktorů, které je ovlivňují. Mezi ty nejjednoznačnější patří například vývoj výnosů desetiletých státních dluhopisů a vývoj měnového kurzu. Oba tyto faktory jsou </w:t>
      </w:r>
      <w:proofErr w:type="spellStart"/>
      <w:r>
        <w:t>volatilní</w:t>
      </w:r>
      <w:proofErr w:type="spellEnd"/>
      <w:r>
        <w:t xml:space="preserve"> a v delším časovém horizontu téměř </w:t>
      </w:r>
      <w:proofErr w:type="spellStart"/>
      <w:r>
        <w:t>nepredikovatelné</w:t>
      </w:r>
      <w:proofErr w:type="spellEnd"/>
      <w:r>
        <w:t>.</w:t>
      </w:r>
    </w:p>
    <w:p w:rsidR="002172FD" w:rsidRDefault="002172FD" w:rsidP="002172FD">
      <w:pPr>
        <w:spacing w:after="0"/>
      </w:pPr>
      <w:r>
        <w:rPr>
          <w:noProof/>
          <w:lang w:eastAsia="cs-CZ"/>
        </w:rPr>
        <w:drawing>
          <wp:inline distT="0" distB="0" distL="0" distR="0" wp14:anchorId="56F5A62A" wp14:editId="28F47559">
            <wp:extent cx="5772150" cy="2638425"/>
            <wp:effectExtent l="0" t="0" r="0" b="9525"/>
            <wp:docPr id="3" name="Obrázek 3" descr="cid:image002.png@01CFE895.5E3C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2.png@01CFE895.5E3CAE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72150" cy="2638425"/>
                    </a:xfrm>
                    <a:prstGeom prst="rect">
                      <a:avLst/>
                    </a:prstGeom>
                    <a:noFill/>
                    <a:ln>
                      <a:noFill/>
                    </a:ln>
                  </pic:spPr>
                </pic:pic>
              </a:graphicData>
            </a:graphic>
          </wp:inline>
        </w:drawing>
      </w:r>
    </w:p>
    <w:p w:rsidR="002172FD" w:rsidRDefault="002172FD" w:rsidP="002172FD">
      <w:pPr>
        <w:rPr>
          <w:i/>
          <w:iCs/>
          <w:sz w:val="18"/>
          <w:szCs w:val="18"/>
        </w:rPr>
      </w:pPr>
      <w:r>
        <w:rPr>
          <w:i/>
          <w:iCs/>
          <w:sz w:val="18"/>
          <w:szCs w:val="18"/>
        </w:rPr>
        <w:t>Zdroj: ČNB - ARAD</w:t>
      </w:r>
    </w:p>
    <w:p w:rsidR="002172FD" w:rsidRDefault="002172FD" w:rsidP="002172FD">
      <w:pPr>
        <w:spacing w:after="0"/>
      </w:pPr>
      <w:r>
        <w:rPr>
          <w:noProof/>
          <w:lang w:eastAsia="cs-CZ"/>
        </w:rPr>
        <w:drawing>
          <wp:inline distT="0" distB="0" distL="0" distR="0" wp14:anchorId="096B692D" wp14:editId="78AE922D">
            <wp:extent cx="5743575" cy="2638425"/>
            <wp:effectExtent l="0" t="0" r="9525" b="9525"/>
            <wp:docPr id="4" name="Obrázek 4" descr="cid:image004.png@01CFE895.5E3C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4.png@01CFE895.5E3CAE8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43575" cy="2638425"/>
                    </a:xfrm>
                    <a:prstGeom prst="rect">
                      <a:avLst/>
                    </a:prstGeom>
                    <a:noFill/>
                    <a:ln>
                      <a:noFill/>
                    </a:ln>
                  </pic:spPr>
                </pic:pic>
              </a:graphicData>
            </a:graphic>
          </wp:inline>
        </w:drawing>
      </w:r>
    </w:p>
    <w:p w:rsidR="002172FD" w:rsidRDefault="002172FD" w:rsidP="002172FD">
      <w:pPr>
        <w:rPr>
          <w:i/>
          <w:iCs/>
          <w:sz w:val="18"/>
          <w:szCs w:val="18"/>
        </w:rPr>
      </w:pPr>
      <w:r>
        <w:rPr>
          <w:i/>
          <w:iCs/>
          <w:sz w:val="18"/>
          <w:szCs w:val="18"/>
        </w:rPr>
        <w:t xml:space="preserve">Zdroj: ČNB </w:t>
      </w:r>
    </w:p>
    <w:p w:rsidR="00595D34" w:rsidRPr="00451E13" w:rsidRDefault="002172FD" w:rsidP="00451E13">
      <w:pPr>
        <w:jc w:val="both"/>
      </w:pPr>
      <w:r>
        <w:t>Na základě výše uvedeného lze jen určit, že v případě výběru varianty, že investiční záměr bude realizován přímou investicí státu, dojde k úměrnému zvýšení hrubého státního dluhu ve výši odpovídající investici v daném roce. Úrokové náklady pak budou odpovídat parametrům dluhových instrumentů, jejichž hodnota se v dlouhodobém časovém horizontu nedá s dostatečnou pravděpodobností určit.</w:t>
      </w:r>
    </w:p>
    <w:sectPr w:rsidR="00595D34" w:rsidRPr="00451E13" w:rsidSect="00050251">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F6" w:rsidRDefault="005D04F6" w:rsidP="0081296A">
      <w:pPr>
        <w:spacing w:after="0" w:line="240" w:lineRule="auto"/>
      </w:pPr>
      <w:r>
        <w:separator/>
      </w:r>
    </w:p>
  </w:endnote>
  <w:endnote w:type="continuationSeparator" w:id="0">
    <w:p w:rsidR="005D04F6" w:rsidRDefault="005D04F6" w:rsidP="0081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Times Ten">
    <w:altName w:val="Times New Roman"/>
    <w:panose1 w:val="00000000000000000000"/>
    <w:charset w:val="00"/>
    <w:family w:val="roman"/>
    <w:notTrueType/>
    <w:pitch w:val="default"/>
    <w:sig w:usb0="00000003" w:usb1="00000000" w:usb2="00000000" w:usb3="00000000" w:csb0="00000001" w:csb1="00000000"/>
  </w:font>
  <w:font w:name="CaeciliaLTStd-Roman">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F6" w:rsidRDefault="005D04F6">
    <w:pPr>
      <w:pStyle w:val="Zpat"/>
      <w:jc w:val="center"/>
    </w:pPr>
  </w:p>
  <w:p w:rsidR="005D04F6" w:rsidRDefault="005D04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55909"/>
      <w:docPartObj>
        <w:docPartGallery w:val="Page Numbers (Bottom of Page)"/>
        <w:docPartUnique/>
      </w:docPartObj>
    </w:sdtPr>
    <w:sdtContent>
      <w:p w:rsidR="005D04F6" w:rsidRDefault="005D04F6">
        <w:pPr>
          <w:pStyle w:val="Zpat"/>
          <w:jc w:val="center"/>
        </w:pPr>
        <w:r>
          <w:fldChar w:fldCharType="begin"/>
        </w:r>
        <w:r>
          <w:instrText>PAGE   \* MERGEFORMAT</w:instrText>
        </w:r>
        <w:r>
          <w:fldChar w:fldCharType="separate"/>
        </w:r>
        <w:r w:rsidR="007B35E7">
          <w:rPr>
            <w:noProof/>
          </w:rPr>
          <w:t>5</w:t>
        </w:r>
        <w:r>
          <w:fldChar w:fldCharType="end"/>
        </w:r>
      </w:p>
    </w:sdtContent>
  </w:sdt>
  <w:p w:rsidR="005D04F6" w:rsidRDefault="005D04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F6" w:rsidRDefault="005D04F6" w:rsidP="0081296A">
      <w:pPr>
        <w:spacing w:after="0" w:line="240" w:lineRule="auto"/>
      </w:pPr>
      <w:r>
        <w:separator/>
      </w:r>
    </w:p>
  </w:footnote>
  <w:footnote w:type="continuationSeparator" w:id="0">
    <w:p w:rsidR="005D04F6" w:rsidRDefault="005D04F6" w:rsidP="0081296A">
      <w:pPr>
        <w:spacing w:after="0" w:line="240" w:lineRule="auto"/>
      </w:pPr>
      <w:r>
        <w:continuationSeparator/>
      </w:r>
    </w:p>
  </w:footnote>
  <w:footnote w:id="1">
    <w:p w:rsidR="005D04F6" w:rsidRDefault="005D04F6" w:rsidP="003A1FE3">
      <w:pPr>
        <w:pStyle w:val="Textpoznpodarou"/>
        <w:jc w:val="both"/>
      </w:pPr>
      <w:r>
        <w:rPr>
          <w:rStyle w:val="Znakapoznpodarou"/>
        </w:rPr>
        <w:footnoteRef/>
      </w:r>
      <w:r>
        <w:t xml:space="preserve"> Dokument NAP JE vychází a navazuje na aktualizovanou Státní energetickou koncepci. Tento dokument bude tedy přeložen ke schválení vládou až v návaznosti na schválení SEK, proto formulace v textu již odkazuje na schválený dokument.</w:t>
      </w:r>
    </w:p>
  </w:footnote>
  <w:footnote w:id="2">
    <w:p w:rsidR="005D04F6" w:rsidRDefault="005D04F6" w:rsidP="00E27FF1">
      <w:pPr>
        <w:pStyle w:val="Textpoznpodarou"/>
        <w:jc w:val="both"/>
      </w:pPr>
      <w:r>
        <w:rPr>
          <w:rStyle w:val="Znakapoznpodarou"/>
        </w:rPr>
        <w:footnoteRef/>
      </w:r>
      <w:r>
        <w:t xml:space="preserve"> J</w:t>
      </w:r>
      <w:r w:rsidRPr="00B13915">
        <w:t>akákoli forma státní garance by představovala veřejnou podporu ve smyslu článku 107, odst. 1 Smlouvy a</w:t>
      </w:r>
      <w:r>
        <w:t> </w:t>
      </w:r>
      <w:r w:rsidRPr="00B13915">
        <w:t>fungování EU a podléhala schválení Evropskou komisí</w:t>
      </w:r>
    </w:p>
  </w:footnote>
  <w:footnote w:id="3">
    <w:p w:rsidR="005D04F6" w:rsidRDefault="005D04F6" w:rsidP="00C53065">
      <w:pPr>
        <w:pStyle w:val="Textpoznpodarou"/>
        <w:jc w:val="both"/>
      </w:pPr>
      <w:r>
        <w:rPr>
          <w:rStyle w:val="Znakapoznpodarou"/>
        </w:rPr>
        <w:footnoteRef/>
      </w:r>
      <w:r>
        <w:t xml:space="preserve"> </w:t>
      </w:r>
      <w:r w:rsidRPr="00C53065">
        <w:t>Vyvážený mix primárních energetických zdrojů i zdrojů výroby elektřiny založený na jejich širokém portfoliu, efektivním využití všech dostupných tuzemských energetických zdrojů a pokrytí spotřeby ČR zajištěnou výrobou elektřiny do ES s dostatkem rezerv. Udržování dostupných strategických rezerv tuzemských forem energie.</w:t>
      </w:r>
    </w:p>
  </w:footnote>
  <w:footnote w:id="4">
    <w:p w:rsidR="005D04F6" w:rsidRDefault="005D04F6" w:rsidP="00C53065">
      <w:pPr>
        <w:pStyle w:val="Textpoznpodarou"/>
        <w:jc w:val="both"/>
      </w:pPr>
      <w:r>
        <w:rPr>
          <w:rStyle w:val="Znakapoznpodarou"/>
        </w:rPr>
        <w:footnoteRef/>
      </w:r>
      <w:r>
        <w:t xml:space="preserve"> </w:t>
      </w:r>
      <w:r>
        <w:rPr>
          <w:rFonts w:ascii="Calibri" w:hAnsi="Calibri" w:cs="Calibri"/>
        </w:rPr>
        <w:t xml:space="preserve"> tj. do roku 2035 – 2037</w:t>
      </w:r>
    </w:p>
  </w:footnote>
  <w:footnote w:id="5">
    <w:p w:rsidR="005D04F6" w:rsidRDefault="005D04F6" w:rsidP="00C53065">
      <w:pPr>
        <w:pStyle w:val="Textpoznpodarou"/>
        <w:jc w:val="both"/>
      </w:pPr>
      <w:r>
        <w:rPr>
          <w:rStyle w:val="Znakapoznpodarou"/>
        </w:rPr>
        <w:footnoteRef/>
      </w:r>
      <w:r>
        <w:t xml:space="preserve"> Návrh revize dokumentu MAAE „</w:t>
      </w:r>
      <w:proofErr w:type="spellStart"/>
      <w:r w:rsidRPr="00751E1C">
        <w:t>Milestones</w:t>
      </w:r>
      <w:proofErr w:type="spellEnd"/>
      <w:r w:rsidRPr="00751E1C">
        <w:t xml:space="preserve"> in </w:t>
      </w:r>
      <w:proofErr w:type="spellStart"/>
      <w:r w:rsidRPr="00751E1C">
        <w:t>the</w:t>
      </w:r>
      <w:proofErr w:type="spellEnd"/>
      <w:r w:rsidRPr="00751E1C">
        <w:t xml:space="preserve"> </w:t>
      </w:r>
      <w:proofErr w:type="spellStart"/>
      <w:r w:rsidRPr="00751E1C">
        <w:t>Development</w:t>
      </w:r>
      <w:proofErr w:type="spellEnd"/>
      <w:r w:rsidRPr="00751E1C">
        <w:t xml:space="preserve"> </w:t>
      </w:r>
      <w:proofErr w:type="spellStart"/>
      <w:r w:rsidRPr="00751E1C">
        <w:t>of</w:t>
      </w:r>
      <w:proofErr w:type="spellEnd"/>
      <w:r w:rsidRPr="00751E1C">
        <w:t xml:space="preserve"> a </w:t>
      </w:r>
      <w:proofErr w:type="spellStart"/>
      <w:r w:rsidRPr="00751E1C">
        <w:t>National</w:t>
      </w:r>
      <w:proofErr w:type="spellEnd"/>
      <w:r w:rsidRPr="00751E1C">
        <w:t xml:space="preserve"> </w:t>
      </w:r>
      <w:proofErr w:type="spellStart"/>
      <w:r w:rsidRPr="00751E1C">
        <w:t>Infrastructure</w:t>
      </w:r>
      <w:proofErr w:type="spellEnd"/>
      <w:r w:rsidRPr="00751E1C">
        <w:t xml:space="preserve"> </w:t>
      </w:r>
      <w:proofErr w:type="spellStart"/>
      <w:r w:rsidRPr="00751E1C">
        <w:t>for</w:t>
      </w:r>
      <w:proofErr w:type="spellEnd"/>
      <w:r w:rsidRPr="00751E1C">
        <w:t xml:space="preserve"> </w:t>
      </w:r>
      <w:proofErr w:type="spellStart"/>
      <w:r w:rsidRPr="00751E1C">
        <w:t>Nuclear</w:t>
      </w:r>
      <w:proofErr w:type="spellEnd"/>
      <w:r w:rsidRPr="00751E1C">
        <w:t xml:space="preserve"> </w:t>
      </w:r>
      <w:proofErr w:type="spellStart"/>
      <w:r w:rsidRPr="00751E1C">
        <w:t>Power</w:t>
      </w:r>
      <w:proofErr w:type="spellEnd"/>
      <w:r>
        <w:t xml:space="preserve">. </w:t>
      </w:r>
      <w:r w:rsidRPr="005C5A71">
        <w:t xml:space="preserve">IAEA </w:t>
      </w:r>
      <w:proofErr w:type="spellStart"/>
      <w:r w:rsidRPr="005C5A71">
        <w:t>Nuclear</w:t>
      </w:r>
      <w:proofErr w:type="spellEnd"/>
      <w:r w:rsidRPr="005C5A71">
        <w:t xml:space="preserve"> </w:t>
      </w:r>
      <w:proofErr w:type="spellStart"/>
      <w:r w:rsidRPr="005C5A71">
        <w:t>Energy</w:t>
      </w:r>
      <w:proofErr w:type="spellEnd"/>
      <w:r w:rsidRPr="005C5A71">
        <w:t xml:space="preserve"> </w:t>
      </w:r>
      <w:proofErr w:type="spellStart"/>
      <w:r w:rsidRPr="005C5A71">
        <w:t>Series</w:t>
      </w:r>
      <w:proofErr w:type="spellEnd"/>
      <w:r w:rsidRPr="005C5A71">
        <w:t xml:space="preserve"> No. NG-G-3.1. IAEA 2007</w:t>
      </w:r>
      <w:r>
        <w:t>“ z roku 2014.</w:t>
      </w:r>
    </w:p>
  </w:footnote>
  <w:footnote w:id="6">
    <w:p w:rsidR="005D04F6" w:rsidRDefault="005D04F6" w:rsidP="00C53065">
      <w:pPr>
        <w:pStyle w:val="Textpoznpodarou"/>
        <w:jc w:val="both"/>
      </w:pPr>
      <w:r>
        <w:rPr>
          <w:rStyle w:val="Znakapoznpodarou"/>
        </w:rPr>
        <w:footnoteRef/>
      </w:r>
      <w:r>
        <w:t xml:space="preserve"> </w:t>
      </w:r>
      <w:proofErr w:type="spellStart"/>
      <w:r w:rsidRPr="005A7BC2">
        <w:t>Milestones</w:t>
      </w:r>
      <w:proofErr w:type="spellEnd"/>
      <w:r w:rsidRPr="005A7BC2">
        <w:t xml:space="preserve"> </w:t>
      </w:r>
      <w:r>
        <w:t>i</w:t>
      </w:r>
      <w:r w:rsidRPr="005A7BC2">
        <w:t xml:space="preserve">n </w:t>
      </w:r>
      <w:proofErr w:type="spellStart"/>
      <w:r>
        <w:t>t</w:t>
      </w:r>
      <w:r w:rsidRPr="005A7BC2">
        <w:t>he</w:t>
      </w:r>
      <w:proofErr w:type="spellEnd"/>
      <w:r w:rsidRPr="005A7BC2">
        <w:t xml:space="preserve"> </w:t>
      </w:r>
      <w:proofErr w:type="spellStart"/>
      <w:r w:rsidRPr="005A7BC2">
        <w:t>Development</w:t>
      </w:r>
      <w:proofErr w:type="spellEnd"/>
      <w:r w:rsidRPr="005A7BC2">
        <w:t xml:space="preserve"> </w:t>
      </w:r>
      <w:proofErr w:type="spellStart"/>
      <w:r>
        <w:t>o</w:t>
      </w:r>
      <w:r w:rsidRPr="005A7BC2">
        <w:t>f</w:t>
      </w:r>
      <w:proofErr w:type="spellEnd"/>
      <w:r w:rsidRPr="005A7BC2">
        <w:t xml:space="preserve"> </w:t>
      </w:r>
      <w:r>
        <w:t>a</w:t>
      </w:r>
      <w:r w:rsidRPr="005A7BC2">
        <w:t xml:space="preserve"> </w:t>
      </w:r>
      <w:proofErr w:type="spellStart"/>
      <w:r w:rsidRPr="005A7BC2">
        <w:t>National</w:t>
      </w:r>
      <w:proofErr w:type="spellEnd"/>
      <w:r w:rsidRPr="005A7BC2">
        <w:t xml:space="preserve"> </w:t>
      </w:r>
      <w:proofErr w:type="spellStart"/>
      <w:r w:rsidRPr="005A7BC2">
        <w:t>Infrastructure</w:t>
      </w:r>
      <w:proofErr w:type="spellEnd"/>
      <w:r w:rsidRPr="005A7BC2">
        <w:t xml:space="preserve"> </w:t>
      </w:r>
      <w:proofErr w:type="spellStart"/>
      <w:r>
        <w:t>f</w:t>
      </w:r>
      <w:r w:rsidRPr="005A7BC2">
        <w:t>or</w:t>
      </w:r>
      <w:proofErr w:type="spellEnd"/>
      <w:r w:rsidRPr="005A7BC2">
        <w:t xml:space="preserve"> </w:t>
      </w:r>
      <w:proofErr w:type="spellStart"/>
      <w:r w:rsidRPr="005A7BC2">
        <w:t>Nuclear</w:t>
      </w:r>
      <w:proofErr w:type="spellEnd"/>
      <w:r w:rsidRPr="005A7BC2">
        <w:t xml:space="preserve"> </w:t>
      </w:r>
      <w:proofErr w:type="spellStart"/>
      <w:r w:rsidRPr="005A7BC2">
        <w:t>Power</w:t>
      </w:r>
      <w:proofErr w:type="spellEnd"/>
      <w:r>
        <w:t xml:space="preserve">. </w:t>
      </w:r>
      <w:r w:rsidRPr="005A7BC2">
        <w:t xml:space="preserve">IAEA </w:t>
      </w:r>
      <w:proofErr w:type="spellStart"/>
      <w:r w:rsidRPr="005A7BC2">
        <w:t>Nuclear</w:t>
      </w:r>
      <w:proofErr w:type="spellEnd"/>
      <w:r w:rsidRPr="005A7BC2">
        <w:t xml:space="preserve"> </w:t>
      </w:r>
      <w:proofErr w:type="spellStart"/>
      <w:r w:rsidRPr="005A7BC2">
        <w:t>Energy</w:t>
      </w:r>
      <w:proofErr w:type="spellEnd"/>
      <w:r w:rsidRPr="005A7BC2">
        <w:t xml:space="preserve"> </w:t>
      </w:r>
      <w:proofErr w:type="spellStart"/>
      <w:r w:rsidRPr="005A7BC2">
        <w:t>Series</w:t>
      </w:r>
      <w:proofErr w:type="spellEnd"/>
      <w:r w:rsidRPr="005A7BC2">
        <w:t xml:space="preserve"> No. NG-G-3.1 (</w:t>
      </w:r>
      <w:proofErr w:type="spellStart"/>
      <w:r w:rsidRPr="005A7BC2">
        <w:t>Rev</w:t>
      </w:r>
      <w:proofErr w:type="spellEnd"/>
      <w:r w:rsidRPr="005A7BC2">
        <w:t>. 2)</w:t>
      </w:r>
      <w:r>
        <w:t xml:space="preserve">. </w:t>
      </w:r>
      <w:r w:rsidRPr="005A7BC2">
        <w:t xml:space="preserve">International </w:t>
      </w:r>
      <w:proofErr w:type="spellStart"/>
      <w:r w:rsidRPr="005A7BC2">
        <w:t>Atomic</w:t>
      </w:r>
      <w:proofErr w:type="spellEnd"/>
      <w:r w:rsidRPr="005A7BC2">
        <w:t xml:space="preserve"> </w:t>
      </w:r>
      <w:proofErr w:type="spellStart"/>
      <w:r w:rsidRPr="005A7BC2">
        <w:t>Energy</w:t>
      </w:r>
      <w:proofErr w:type="spellEnd"/>
      <w:r w:rsidRPr="005A7BC2">
        <w:t xml:space="preserve"> </w:t>
      </w:r>
      <w:proofErr w:type="spellStart"/>
      <w:r w:rsidRPr="005A7BC2">
        <w:t>Agency</w:t>
      </w:r>
      <w:proofErr w:type="spellEnd"/>
      <w:r>
        <w:t xml:space="preserve">, </w:t>
      </w:r>
      <w:proofErr w:type="spellStart"/>
      <w:r w:rsidRPr="005A7BC2">
        <w:t>Vienna</w:t>
      </w:r>
      <w:proofErr w:type="spellEnd"/>
      <w:r w:rsidRPr="005A7BC2">
        <w:t>, 2014</w:t>
      </w:r>
      <w:r w:rsidRPr="00727DE5">
        <w:t xml:space="preserve">. </w:t>
      </w:r>
      <w:r>
        <w:t>Draft.</w:t>
      </w:r>
    </w:p>
  </w:footnote>
  <w:footnote w:id="7">
    <w:p w:rsidR="005D04F6" w:rsidRDefault="005D04F6" w:rsidP="00C53065">
      <w:pPr>
        <w:pStyle w:val="Textpoznpodarou"/>
        <w:jc w:val="both"/>
      </w:pPr>
      <w:r>
        <w:rPr>
          <w:rStyle w:val="Znakapoznpodarou"/>
        </w:rPr>
        <w:footnoteRef/>
      </w:r>
      <w:r>
        <w:t xml:space="preserve"> </w:t>
      </w:r>
      <w:proofErr w:type="spellStart"/>
      <w:r w:rsidRPr="005A7BC2">
        <w:t>Milestones</w:t>
      </w:r>
      <w:proofErr w:type="spellEnd"/>
      <w:r w:rsidRPr="005A7BC2">
        <w:t xml:space="preserve"> </w:t>
      </w:r>
      <w:r>
        <w:t>i</w:t>
      </w:r>
      <w:r w:rsidRPr="005A7BC2">
        <w:t xml:space="preserve">n </w:t>
      </w:r>
      <w:proofErr w:type="spellStart"/>
      <w:r>
        <w:t>t</w:t>
      </w:r>
      <w:r w:rsidRPr="005A7BC2">
        <w:t>he</w:t>
      </w:r>
      <w:proofErr w:type="spellEnd"/>
      <w:r w:rsidRPr="005A7BC2">
        <w:t xml:space="preserve"> </w:t>
      </w:r>
      <w:proofErr w:type="spellStart"/>
      <w:r w:rsidRPr="005A7BC2">
        <w:t>Development</w:t>
      </w:r>
      <w:proofErr w:type="spellEnd"/>
      <w:r w:rsidRPr="005A7BC2">
        <w:t xml:space="preserve"> </w:t>
      </w:r>
      <w:proofErr w:type="spellStart"/>
      <w:r>
        <w:t>o</w:t>
      </w:r>
      <w:r w:rsidRPr="005A7BC2">
        <w:t>f</w:t>
      </w:r>
      <w:proofErr w:type="spellEnd"/>
      <w:r w:rsidRPr="005A7BC2">
        <w:t xml:space="preserve"> </w:t>
      </w:r>
      <w:r>
        <w:t>a</w:t>
      </w:r>
      <w:r w:rsidRPr="005A7BC2">
        <w:t xml:space="preserve"> </w:t>
      </w:r>
      <w:proofErr w:type="spellStart"/>
      <w:r w:rsidRPr="005A7BC2">
        <w:t>National</w:t>
      </w:r>
      <w:proofErr w:type="spellEnd"/>
      <w:r w:rsidRPr="005A7BC2">
        <w:t xml:space="preserve"> </w:t>
      </w:r>
      <w:proofErr w:type="spellStart"/>
      <w:r w:rsidRPr="005A7BC2">
        <w:t>Infrastructure</w:t>
      </w:r>
      <w:proofErr w:type="spellEnd"/>
      <w:r w:rsidRPr="005A7BC2">
        <w:t xml:space="preserve"> </w:t>
      </w:r>
      <w:proofErr w:type="spellStart"/>
      <w:r>
        <w:t>f</w:t>
      </w:r>
      <w:r w:rsidRPr="005A7BC2">
        <w:t>or</w:t>
      </w:r>
      <w:proofErr w:type="spellEnd"/>
      <w:r w:rsidRPr="005A7BC2">
        <w:t xml:space="preserve"> </w:t>
      </w:r>
      <w:proofErr w:type="spellStart"/>
      <w:r w:rsidRPr="005A7BC2">
        <w:t>Nuclear</w:t>
      </w:r>
      <w:proofErr w:type="spellEnd"/>
      <w:r w:rsidRPr="005A7BC2">
        <w:t xml:space="preserve"> </w:t>
      </w:r>
      <w:proofErr w:type="spellStart"/>
      <w:r w:rsidRPr="005A7BC2">
        <w:t>Power</w:t>
      </w:r>
      <w:proofErr w:type="spellEnd"/>
      <w:r>
        <w:t xml:space="preserve">. </w:t>
      </w:r>
      <w:r w:rsidRPr="005A7BC2">
        <w:t xml:space="preserve">IAEA </w:t>
      </w:r>
      <w:proofErr w:type="spellStart"/>
      <w:r w:rsidRPr="005A7BC2">
        <w:t>Nuclear</w:t>
      </w:r>
      <w:proofErr w:type="spellEnd"/>
      <w:r w:rsidRPr="005A7BC2">
        <w:t xml:space="preserve"> </w:t>
      </w:r>
      <w:proofErr w:type="spellStart"/>
      <w:r w:rsidRPr="005A7BC2">
        <w:t>Energy</w:t>
      </w:r>
      <w:proofErr w:type="spellEnd"/>
      <w:r w:rsidRPr="005A7BC2">
        <w:t xml:space="preserve"> </w:t>
      </w:r>
      <w:proofErr w:type="spellStart"/>
      <w:r w:rsidRPr="005A7BC2">
        <w:t>Series</w:t>
      </w:r>
      <w:proofErr w:type="spellEnd"/>
      <w:r w:rsidRPr="005A7BC2">
        <w:t xml:space="preserve"> No. NG-G-3.1</w:t>
      </w:r>
      <w:r>
        <w:t xml:space="preserve">. </w:t>
      </w:r>
      <w:r w:rsidRPr="005A7BC2">
        <w:t xml:space="preserve">International </w:t>
      </w:r>
      <w:proofErr w:type="spellStart"/>
      <w:r w:rsidRPr="005A7BC2">
        <w:t>Atomic</w:t>
      </w:r>
      <w:proofErr w:type="spellEnd"/>
      <w:r w:rsidRPr="005A7BC2">
        <w:t xml:space="preserve"> </w:t>
      </w:r>
      <w:proofErr w:type="spellStart"/>
      <w:r w:rsidRPr="005A7BC2">
        <w:t>Energy</w:t>
      </w:r>
      <w:proofErr w:type="spellEnd"/>
      <w:r w:rsidRPr="005A7BC2">
        <w:t xml:space="preserve"> </w:t>
      </w:r>
      <w:proofErr w:type="spellStart"/>
      <w:r w:rsidRPr="005A7BC2">
        <w:t>Agency</w:t>
      </w:r>
      <w:proofErr w:type="spellEnd"/>
      <w:r>
        <w:t xml:space="preserve">, </w:t>
      </w:r>
      <w:proofErr w:type="spellStart"/>
      <w:r w:rsidRPr="005A7BC2">
        <w:t>Vienna</w:t>
      </w:r>
      <w:proofErr w:type="spellEnd"/>
      <w:r w:rsidRPr="005A7BC2">
        <w:t>, 20</w:t>
      </w:r>
      <w:r>
        <w:t>07</w:t>
      </w:r>
      <w:r w:rsidRPr="00727DE5">
        <w:t>.</w:t>
      </w:r>
    </w:p>
  </w:footnote>
  <w:footnote w:id="8">
    <w:p w:rsidR="005D04F6" w:rsidRDefault="005D04F6" w:rsidP="00C53065">
      <w:pPr>
        <w:pStyle w:val="Textpoznpodarou"/>
        <w:jc w:val="both"/>
      </w:pPr>
      <w:r>
        <w:rPr>
          <w:rStyle w:val="Znakapoznpodarou"/>
        </w:rPr>
        <w:footnoteRef/>
      </w:r>
      <w:r>
        <w:t xml:space="preserve"> </w:t>
      </w:r>
      <w:r w:rsidRPr="00091972">
        <w:rPr>
          <w:rStyle w:val="Hypertextovodkaz"/>
        </w:rPr>
        <w:t>http://www.nugenia.org</w:t>
      </w:r>
    </w:p>
  </w:footnote>
  <w:footnote w:id="9">
    <w:p w:rsidR="005D04F6" w:rsidRPr="009A206F" w:rsidRDefault="005D04F6" w:rsidP="009A206F">
      <w:pPr>
        <w:spacing w:after="0"/>
        <w:jc w:val="both"/>
        <w:rPr>
          <w:sz w:val="20"/>
          <w:szCs w:val="20"/>
        </w:rPr>
      </w:pPr>
      <w:r w:rsidRPr="009A206F">
        <w:rPr>
          <w:rStyle w:val="Znakapoznpodarou"/>
          <w:sz w:val="20"/>
          <w:szCs w:val="20"/>
        </w:rPr>
        <w:footnoteRef/>
      </w:r>
      <w:r w:rsidRPr="009A206F">
        <w:rPr>
          <w:sz w:val="20"/>
          <w:szCs w:val="20"/>
        </w:rPr>
        <w:t xml:space="preserve"> Účelem této kapitoly pak není vyčerpávající popis jednotlivých skupin, ale spíše naznačení základních tezí s ohledem na problematiku udržitelnosti. Některé teze jsou též obecnějšího charakteru a nejsou spojeny pouze s jadernou energetikou.</w:t>
      </w:r>
    </w:p>
  </w:footnote>
  <w:footnote w:id="10">
    <w:p w:rsidR="005D04F6" w:rsidRDefault="005D04F6" w:rsidP="003C7873">
      <w:pPr>
        <w:pStyle w:val="Textpoznpodarou"/>
        <w:jc w:val="both"/>
      </w:pPr>
      <w:r>
        <w:rPr>
          <w:rStyle w:val="Znakapoznpodarou"/>
        </w:rPr>
        <w:footnoteRef/>
      </w:r>
      <w:r>
        <w:t xml:space="preserve"> Aktuální prognózy stranou rezerv, produkce a poptávky po přírodním uranu jsou dostupné v materiálu </w:t>
      </w:r>
      <w:r w:rsidRPr="003C7873">
        <w:t xml:space="preserve">Uranium 2014 </w:t>
      </w:r>
      <w:proofErr w:type="spellStart"/>
      <w:r w:rsidRPr="003C7873">
        <w:t>Resources</w:t>
      </w:r>
      <w:proofErr w:type="spellEnd"/>
      <w:r w:rsidRPr="003C7873">
        <w:t xml:space="preserve">, </w:t>
      </w:r>
      <w:proofErr w:type="spellStart"/>
      <w:r w:rsidRPr="003C7873">
        <w:t>Production</w:t>
      </w:r>
      <w:proofErr w:type="spellEnd"/>
      <w:r w:rsidRPr="003C7873">
        <w:t xml:space="preserve"> and </w:t>
      </w:r>
      <w:proofErr w:type="spellStart"/>
      <w:r w:rsidRPr="003C7873">
        <w:t>Demand</w:t>
      </w:r>
      <w:proofErr w:type="spellEnd"/>
      <w:r>
        <w:t xml:space="preserve"> (2014, OECD; NEA), dostupné z </w:t>
      </w:r>
      <w:hyperlink r:id="rId1" w:history="1">
        <w:r w:rsidRPr="00E84148">
          <w:rPr>
            <w:rStyle w:val="Hypertextovodkaz"/>
          </w:rPr>
          <w:t>http://www.oecd-nea.org</w:t>
        </w:r>
      </w:hyperlink>
      <w:r>
        <w:t>.</w:t>
      </w:r>
    </w:p>
  </w:footnote>
  <w:footnote w:id="11">
    <w:p w:rsidR="005D04F6" w:rsidRDefault="005D04F6" w:rsidP="00C53065">
      <w:pPr>
        <w:pStyle w:val="Textpoznpodarou"/>
        <w:jc w:val="both"/>
      </w:pPr>
      <w:r>
        <w:rPr>
          <w:rStyle w:val="Znakapoznpodarou"/>
        </w:rPr>
        <w:footnoteRef/>
      </w:r>
      <w:r>
        <w:t xml:space="preserve"> </w:t>
      </w:r>
      <w:r w:rsidRPr="009B14F8">
        <w:rPr>
          <w:rFonts w:cs="Calibri"/>
          <w:lang w:val="en-GB"/>
        </w:rPr>
        <w:t xml:space="preserve">Redundancy of Supply in the International Nuclear Fuel Market: Are Fabrication Services Assured? </w:t>
      </w:r>
      <w:r>
        <w:rPr>
          <w:rFonts w:cs="Calibri"/>
          <w:lang w:val="en-GB"/>
        </w:rPr>
        <w:br/>
      </w:r>
      <w:r w:rsidRPr="009B14F8">
        <w:rPr>
          <w:rFonts w:cs="Calibri"/>
          <w:lang w:val="en-GB"/>
        </w:rPr>
        <w:t>PNNL-20861. October 2011.</w:t>
      </w:r>
    </w:p>
  </w:footnote>
  <w:footnote w:id="12">
    <w:p w:rsidR="005D04F6" w:rsidRDefault="005D04F6" w:rsidP="009B7DCF">
      <w:pPr>
        <w:pStyle w:val="Textpoznpodarou"/>
        <w:jc w:val="both"/>
      </w:pPr>
      <w:r>
        <w:rPr>
          <w:rStyle w:val="Znakapoznpodarou"/>
        </w:rPr>
        <w:footnoteRef/>
      </w:r>
      <w:r w:rsidRPr="001B3793">
        <w:t xml:space="preserve"> </w:t>
      </w:r>
      <w:r w:rsidRPr="001B3793">
        <w:rPr>
          <w:rFonts w:ascii="Times New Roman" w:hAnsi="Times New Roman" w:cs="Times New Roman"/>
        </w:rPr>
        <w:t>Flexibilita jaderných elektráren a jejich možná budoucí role v energetické soustavě je téma, které svojí šíří přesahuje zaměření dokumentu NAP JE. Obecně je možno potvrdit, že jaderné elektrárny splňují všechny požadavky Kodexu přenosové soustavy na flexibilitu a manévrovatelnost bloků, technické požadavky závazného dokumentu „</w:t>
      </w:r>
      <w:proofErr w:type="spellStart"/>
      <w:r w:rsidRPr="001B3793">
        <w:rPr>
          <w:rFonts w:ascii="Times New Roman" w:hAnsi="Times New Roman" w:cs="Times New Roman"/>
          <w:i/>
        </w:rPr>
        <w:t>Requirements</w:t>
      </w:r>
      <w:proofErr w:type="spellEnd"/>
      <w:r w:rsidRPr="001B3793">
        <w:rPr>
          <w:rFonts w:ascii="Times New Roman" w:hAnsi="Times New Roman" w:cs="Times New Roman"/>
          <w:i/>
        </w:rPr>
        <w:t xml:space="preserve"> </w:t>
      </w:r>
      <w:proofErr w:type="spellStart"/>
      <w:r w:rsidRPr="001B3793">
        <w:rPr>
          <w:rFonts w:ascii="Times New Roman" w:hAnsi="Times New Roman" w:cs="Times New Roman"/>
          <w:i/>
        </w:rPr>
        <w:t>for</w:t>
      </w:r>
      <w:proofErr w:type="spellEnd"/>
      <w:r w:rsidRPr="001B3793">
        <w:rPr>
          <w:rFonts w:ascii="Times New Roman" w:hAnsi="Times New Roman" w:cs="Times New Roman"/>
          <w:i/>
        </w:rPr>
        <w:t xml:space="preserve"> </w:t>
      </w:r>
      <w:proofErr w:type="spellStart"/>
      <w:r w:rsidRPr="001B3793">
        <w:rPr>
          <w:rFonts w:ascii="Times New Roman" w:hAnsi="Times New Roman" w:cs="Times New Roman"/>
          <w:i/>
        </w:rPr>
        <w:t>Generators</w:t>
      </w:r>
      <w:proofErr w:type="spellEnd"/>
      <w:r w:rsidRPr="001B3793">
        <w:rPr>
          <w:rFonts w:ascii="Times New Roman" w:hAnsi="Times New Roman" w:cs="Times New Roman"/>
        </w:rPr>
        <w:t>“ (</w:t>
      </w:r>
      <w:proofErr w:type="spellStart"/>
      <w:r w:rsidRPr="001B3793">
        <w:rPr>
          <w:rFonts w:ascii="Times New Roman" w:hAnsi="Times New Roman" w:cs="Times New Roman"/>
        </w:rPr>
        <w:t>RfG</w:t>
      </w:r>
      <w:proofErr w:type="spellEnd"/>
      <w:r w:rsidRPr="001B3793">
        <w:rPr>
          <w:rFonts w:ascii="Times New Roman" w:hAnsi="Times New Roman" w:cs="Times New Roman"/>
        </w:rPr>
        <w:t>) majících působnost ve státech sdružení ENTSO-E, jakož i doporučující požadavky předpisů EUR. Je samozřejmé, že jednotlivé technologie zvažované pro NJZ v ČR se z hlediska dosahované flexibility (šíře regulačního pásma, rychlosti změn, počtu cyklů po dobu životnosti atd.) liší, nicméně obecně lze říci, že jaderné elektrárny jsou na výkonové změny konstruovány, a že pokud jsou výkonové manévry prováděny v povolených rozsazích a definovanými trendy, neměla by být životnost zařízení bloku čerpána nad rámec projektového vymezení.</w:t>
      </w:r>
      <w:r w:rsidRPr="001B3793">
        <w:t xml:space="preserve"> Aktuálně c</w:t>
      </w:r>
      <w:r w:rsidRPr="001B3793">
        <w:rPr>
          <w:rFonts w:ascii="Times New Roman" w:hAnsi="Times New Roman" w:cs="Times New Roman"/>
        </w:rPr>
        <w:t xml:space="preserve">ertifikované </w:t>
      </w:r>
      <w:proofErr w:type="spellStart"/>
      <w:r w:rsidRPr="001B3793">
        <w:rPr>
          <w:rFonts w:ascii="Times New Roman" w:hAnsi="Times New Roman" w:cs="Times New Roman"/>
        </w:rPr>
        <w:t>PpS</w:t>
      </w:r>
      <w:proofErr w:type="spellEnd"/>
      <w:r w:rsidRPr="001B3793">
        <w:rPr>
          <w:rFonts w:ascii="Times New Roman" w:hAnsi="Times New Roman" w:cs="Times New Roman"/>
        </w:rPr>
        <w:t xml:space="preserve"> na ETE1jsou SR a MZ15: SR: pásmo </w:t>
      </w:r>
      <w:proofErr w:type="spellStart"/>
      <w:r w:rsidRPr="001B3793">
        <w:rPr>
          <w:rFonts w:ascii="Times New Roman" w:hAnsi="Times New Roman" w:cs="Times New Roman"/>
        </w:rPr>
        <w:t>Pmax</w:t>
      </w:r>
      <w:proofErr w:type="spellEnd"/>
      <w:r w:rsidRPr="001B3793">
        <w:rPr>
          <w:rFonts w:ascii="Times New Roman" w:hAnsi="Times New Roman" w:cs="Times New Roman"/>
        </w:rPr>
        <w:t xml:space="preserve"> (1085 – 1045 MW) a </w:t>
      </w:r>
      <w:proofErr w:type="spellStart"/>
      <w:r w:rsidRPr="001B3793">
        <w:rPr>
          <w:rFonts w:ascii="Times New Roman" w:hAnsi="Times New Roman" w:cs="Times New Roman"/>
        </w:rPr>
        <w:t>Pmin</w:t>
      </w:r>
      <w:proofErr w:type="spellEnd"/>
      <w:r w:rsidRPr="001B3793">
        <w:rPr>
          <w:rFonts w:ascii="Times New Roman" w:hAnsi="Times New Roman" w:cs="Times New Roman"/>
        </w:rPr>
        <w:t xml:space="preserve"> (985 – 945 MW), RRSR  = 100 MW, rychlost zatěžování 5 MW/min; MZ15: pásmo </w:t>
      </w:r>
      <w:proofErr w:type="spellStart"/>
      <w:r w:rsidRPr="001B3793">
        <w:rPr>
          <w:rFonts w:ascii="Times New Roman" w:hAnsi="Times New Roman" w:cs="Times New Roman"/>
        </w:rPr>
        <w:t>Pmax</w:t>
      </w:r>
      <w:proofErr w:type="spellEnd"/>
      <w:r w:rsidRPr="001B3793">
        <w:rPr>
          <w:rFonts w:ascii="Times New Roman" w:hAnsi="Times New Roman" w:cs="Times New Roman"/>
        </w:rPr>
        <w:t xml:space="preserve"> (1085 – 1045 MW) a </w:t>
      </w:r>
      <w:proofErr w:type="spellStart"/>
      <w:r w:rsidRPr="001B3793">
        <w:rPr>
          <w:rFonts w:ascii="Times New Roman" w:hAnsi="Times New Roman" w:cs="Times New Roman"/>
        </w:rPr>
        <w:t>Pmin</w:t>
      </w:r>
      <w:proofErr w:type="spellEnd"/>
      <w:r w:rsidRPr="001B3793">
        <w:rPr>
          <w:rFonts w:ascii="Times New Roman" w:hAnsi="Times New Roman" w:cs="Times New Roman"/>
        </w:rPr>
        <w:t xml:space="preserve"> (1015 – 975 MW), RZMZ15B = 70 MW. EDU v minulosti provedli pro všechny čtyři bloky certifikaci pro následující </w:t>
      </w:r>
      <w:proofErr w:type="spellStart"/>
      <w:r w:rsidRPr="001B3793">
        <w:rPr>
          <w:rFonts w:ascii="Times New Roman" w:hAnsi="Times New Roman" w:cs="Times New Roman"/>
        </w:rPr>
        <w:t>PpS</w:t>
      </w:r>
      <w:proofErr w:type="spellEnd"/>
      <w:r w:rsidRPr="001B3793">
        <w:rPr>
          <w:rFonts w:ascii="Times New Roman" w:hAnsi="Times New Roman" w:cs="Times New Roman"/>
        </w:rPr>
        <w:t xml:space="preserve">: SR: v pásmu +/- 40 MW při </w:t>
      </w:r>
      <w:proofErr w:type="spellStart"/>
      <w:r w:rsidRPr="001B3793">
        <w:rPr>
          <w:rFonts w:ascii="Times New Roman" w:hAnsi="Times New Roman" w:cs="Times New Roman"/>
        </w:rPr>
        <w:t>Cmax</w:t>
      </w:r>
      <w:proofErr w:type="spellEnd"/>
      <w:r w:rsidRPr="001B3793">
        <w:rPr>
          <w:rFonts w:ascii="Times New Roman" w:hAnsi="Times New Roman" w:cs="Times New Roman"/>
        </w:rPr>
        <w:t xml:space="preserve"> SR = 4,4 MW/min MZ15: v pásmu +/- 66 MW při </w:t>
      </w:r>
      <w:proofErr w:type="spellStart"/>
      <w:r w:rsidRPr="001B3793">
        <w:rPr>
          <w:rFonts w:ascii="Times New Roman" w:hAnsi="Times New Roman" w:cs="Times New Roman"/>
        </w:rPr>
        <w:t>Cmax</w:t>
      </w:r>
      <w:proofErr w:type="spellEnd"/>
      <w:r w:rsidRPr="001B3793">
        <w:rPr>
          <w:rFonts w:ascii="Times New Roman" w:hAnsi="Times New Roman" w:cs="Times New Roman"/>
        </w:rPr>
        <w:t xml:space="preserve"> MZ15 = 4,4 MW/min.</w:t>
      </w:r>
    </w:p>
  </w:footnote>
  <w:footnote w:id="13">
    <w:p w:rsidR="005D04F6" w:rsidRDefault="005D04F6" w:rsidP="00F927CE">
      <w:pPr>
        <w:pStyle w:val="Textpoznpodarou"/>
        <w:jc w:val="both"/>
      </w:pPr>
      <w:r>
        <w:rPr>
          <w:rStyle w:val="Znakapoznpodarou"/>
        </w:rPr>
        <w:footnoteRef/>
      </w:r>
      <w:r>
        <w:t xml:space="preserve"> S </w:t>
      </w:r>
      <w:r w:rsidRPr="00F24A7E">
        <w:t>ohled</w:t>
      </w:r>
      <w:r>
        <w:t>em</w:t>
      </w:r>
      <w:r w:rsidRPr="00F24A7E">
        <w:t xml:space="preserve"> </w:t>
      </w:r>
      <w:r>
        <w:t xml:space="preserve">na </w:t>
      </w:r>
      <w:r w:rsidRPr="00F24A7E">
        <w:t>aktuální vývoj požadavků na zajištění jaderné bezpečnosti v rámci EU</w:t>
      </w:r>
      <w:r>
        <w:t xml:space="preserve"> může hrozit</w:t>
      </w:r>
      <w:r w:rsidRPr="00F24A7E">
        <w:t xml:space="preserve"> riziko tlaku na ukončení provozu všech JE bez </w:t>
      </w:r>
      <w:proofErr w:type="spellStart"/>
      <w:r w:rsidRPr="00F24A7E">
        <w:t>plnotlakého</w:t>
      </w:r>
      <w:proofErr w:type="spellEnd"/>
      <w:r w:rsidRPr="00F24A7E">
        <w:t xml:space="preserve"> masivního kontejnmentu</w:t>
      </w:r>
      <w:r>
        <w:t>, jako je EDU,</w:t>
      </w:r>
      <w:r w:rsidRPr="00F24A7E">
        <w:t xml:space="preserve"> </w:t>
      </w:r>
      <w:r>
        <w:t>u které také</w:t>
      </w:r>
      <w:r w:rsidRPr="00F24A7E">
        <w:t xml:space="preserve"> nebylo nikdy provedeno posuzování vlivů na životní prostředí podle zákona č. 100/2001 Sb.</w:t>
      </w:r>
      <w:r>
        <w:t>,</w:t>
      </w:r>
      <w:r w:rsidRPr="00F24A7E">
        <w:t xml:space="preserve"> což </w:t>
      </w:r>
      <w:r>
        <w:t>by mohlo představovat další</w:t>
      </w:r>
      <w:r w:rsidRPr="00F24A7E">
        <w:t xml:space="preserve"> potenciální riziko vzhledem k </w:t>
      </w:r>
      <w:r>
        <w:t>prodlužování jejího provozu</w:t>
      </w:r>
      <w:r w:rsidRPr="00F24A7E">
        <w:t>.</w:t>
      </w:r>
    </w:p>
  </w:footnote>
  <w:footnote w:id="14">
    <w:p w:rsidR="005D04F6" w:rsidRDefault="005D04F6" w:rsidP="00C53065">
      <w:pPr>
        <w:pStyle w:val="Textpoznpodarou"/>
        <w:jc w:val="both"/>
      </w:pPr>
      <w:r>
        <w:rPr>
          <w:rStyle w:val="Znakapoznpodarou"/>
        </w:rPr>
        <w:footnoteRef/>
      </w:r>
      <w:r>
        <w:t xml:space="preserve"> J</w:t>
      </w:r>
      <w:r w:rsidRPr="00B13915">
        <w:t>akákoli forma státní garance by představovala veřejnou podporu ve smyslu článku 107, odst. 1 Smlouvy a</w:t>
      </w:r>
      <w:r>
        <w:t> </w:t>
      </w:r>
      <w:r w:rsidRPr="00B13915">
        <w:t>fungování EU a podléhala schválení Evropskou komisí</w:t>
      </w:r>
      <w:r>
        <w:t>.</w:t>
      </w:r>
    </w:p>
  </w:footnote>
  <w:footnote w:id="15">
    <w:p w:rsidR="005D04F6" w:rsidRDefault="005D04F6" w:rsidP="00E73320">
      <w:pPr>
        <w:pStyle w:val="Textpoznpodarou"/>
        <w:jc w:val="both"/>
      </w:pPr>
      <w:r>
        <w:rPr>
          <w:rStyle w:val="Znakapoznpodarou"/>
        </w:rPr>
        <w:footnoteRef/>
      </w:r>
      <w:r>
        <w:t xml:space="preserve"> Jedná se o modelový horizont, který by měl demonstrovat případ, kdy by byla podpora vyplácena v kratším horizontu než v uvedených dvou scénářích. Tento horizont byl zvolen i z toho důvodu, že byl modelově zvažován v případně elektrárny </w:t>
      </w:r>
      <w:proofErr w:type="spellStart"/>
      <w:r>
        <w:t>Hinkley</w:t>
      </w:r>
      <w:proofErr w:type="spellEnd"/>
      <w:r>
        <w:t xml:space="preserve"> Point a jejího nového bloku C.</w:t>
      </w:r>
    </w:p>
  </w:footnote>
  <w:footnote w:id="16">
    <w:p w:rsidR="005D04F6" w:rsidRDefault="005D04F6" w:rsidP="00C53065">
      <w:pPr>
        <w:pStyle w:val="Textpoznpodarou"/>
        <w:jc w:val="both"/>
      </w:pPr>
      <w:r>
        <w:rPr>
          <w:rStyle w:val="Znakapoznpodarou"/>
        </w:rPr>
        <w:footnoteRef/>
      </w:r>
      <w:r>
        <w:t xml:space="preserve"> V rámci určitého (krátkého) období vyrábí uzávěrková elektrárna na úrovni variabilních nákladů, a to z důvodů existence utopených nákladů. Zde však uvažujeme v jistém smyslu rovnovážný stav, kdy je daná cena pro firmy akceptovatelná i v případě, že na trh vstupují a utopené náklady tedy nevstupují do rozhodování.</w:t>
      </w:r>
    </w:p>
  </w:footnote>
  <w:footnote w:id="17">
    <w:p w:rsidR="005D04F6" w:rsidRDefault="005D04F6" w:rsidP="00A9339D">
      <w:pPr>
        <w:pStyle w:val="Default"/>
        <w:jc w:val="both"/>
        <w:rPr>
          <w:rStyle w:val="Hypertextovodkaz"/>
          <w:rFonts w:asciiTheme="minorHAnsi" w:hAnsiTheme="minorHAnsi"/>
          <w:sz w:val="18"/>
          <w:szCs w:val="18"/>
        </w:rPr>
      </w:pPr>
      <w:r>
        <w:rPr>
          <w:rStyle w:val="Znakapoznpodarou"/>
        </w:rPr>
        <w:footnoteRef/>
      </w:r>
      <w:r w:rsidRPr="00A9339D">
        <w:rPr>
          <w:color w:val="auto"/>
        </w:rPr>
        <w:t xml:space="preserve"> </w:t>
      </w:r>
      <w:r w:rsidRPr="00A9339D">
        <w:rPr>
          <w:rStyle w:val="Hypertextovodkaz"/>
          <w:rFonts w:asciiTheme="minorHAnsi" w:hAnsiTheme="minorHAnsi"/>
          <w:color w:val="auto"/>
          <w:sz w:val="18"/>
          <w:szCs w:val="18"/>
          <w:u w:val="none"/>
        </w:rPr>
        <w:t>U</w:t>
      </w:r>
      <w:r w:rsidRPr="00A9339D">
        <w:rPr>
          <w:rStyle w:val="Hypertextovodkaz"/>
          <w:rFonts w:asciiTheme="minorHAnsi" w:hAnsiTheme="minorHAnsi" w:cstheme="minorBidi"/>
          <w:color w:val="auto"/>
          <w:sz w:val="18"/>
          <w:szCs w:val="18"/>
          <w:u w:val="none"/>
        </w:rPr>
        <w:t xml:space="preserve">snesení vlády České republiky </w:t>
      </w:r>
      <w:r w:rsidRPr="00A9339D">
        <w:rPr>
          <w:rStyle w:val="Hypertextovodkaz"/>
          <w:rFonts w:asciiTheme="minorHAnsi" w:hAnsiTheme="minorHAnsi"/>
          <w:color w:val="auto"/>
          <w:sz w:val="18"/>
          <w:szCs w:val="18"/>
          <w:u w:val="none"/>
        </w:rPr>
        <w:t>ze dne 19. července 2012 č. 552</w:t>
      </w:r>
      <w:r w:rsidRPr="00A9339D">
        <w:rPr>
          <w:rStyle w:val="Hypertextovodkaz"/>
          <w:rFonts w:asciiTheme="minorHAnsi" w:hAnsiTheme="minorHAnsi" w:cstheme="minorBidi"/>
          <w:color w:val="auto"/>
          <w:sz w:val="18"/>
          <w:szCs w:val="18"/>
          <w:u w:val="none"/>
        </w:rPr>
        <w:t xml:space="preserve"> </w:t>
      </w:r>
      <w:r w:rsidRPr="00A9339D">
        <w:rPr>
          <w:rStyle w:val="Hypertextovodkaz"/>
          <w:rFonts w:asciiTheme="minorHAnsi" w:hAnsiTheme="minorHAnsi"/>
          <w:color w:val="auto"/>
          <w:sz w:val="18"/>
          <w:szCs w:val="18"/>
          <w:u w:val="none"/>
        </w:rPr>
        <w:t>o Národních prioritách orientovaného výzkumu, experimentálního vývoje a inovací</w:t>
      </w:r>
      <w:r>
        <w:rPr>
          <w:rStyle w:val="Hypertextovodkaz"/>
          <w:rFonts w:asciiTheme="minorHAnsi" w:hAnsiTheme="minorHAnsi"/>
          <w:color w:val="auto"/>
          <w:sz w:val="18"/>
          <w:szCs w:val="18"/>
          <w:u w:val="none"/>
        </w:rPr>
        <w:t>.</w:t>
      </w:r>
    </w:p>
  </w:footnote>
  <w:footnote w:id="18">
    <w:p w:rsidR="005D04F6" w:rsidRDefault="005D04F6" w:rsidP="00C159C6">
      <w:pPr>
        <w:pStyle w:val="Textpoznpodarou"/>
        <w:jc w:val="both"/>
      </w:pPr>
      <w:r>
        <w:rPr>
          <w:rStyle w:val="Znakapoznpodarou"/>
        </w:rPr>
        <w:footnoteRef/>
      </w:r>
      <w:r>
        <w:t xml:space="preserve"> Dle prohlášení britské vlády má projekt po svém dokončení dodávat od roku 2023 cca 7 % elektřiny pro britskou spotřebu, během výstavby by mělo vzniknout cca 25 000 pracovních míst a pak během 60 let provozu by mělo zůstat 900 stálých pracovních míst.</w:t>
      </w:r>
    </w:p>
  </w:footnote>
  <w:footnote w:id="19">
    <w:p w:rsidR="005D04F6" w:rsidRPr="00B614BB" w:rsidRDefault="005D04F6" w:rsidP="00DB64F6">
      <w:pPr>
        <w:spacing w:line="240" w:lineRule="auto"/>
        <w:jc w:val="both"/>
        <w:rPr>
          <w:sz w:val="20"/>
          <w:szCs w:val="20"/>
        </w:rPr>
      </w:pPr>
      <w:r w:rsidRPr="00B614BB">
        <w:rPr>
          <w:rStyle w:val="Znakapoznpodarou"/>
          <w:sz w:val="20"/>
          <w:szCs w:val="20"/>
        </w:rPr>
        <w:footnoteRef/>
      </w:r>
      <w:r w:rsidRPr="00B614BB">
        <w:rPr>
          <w:sz w:val="20"/>
          <w:szCs w:val="20"/>
        </w:rPr>
        <w:t xml:space="preserve"> </w:t>
      </w:r>
      <w:proofErr w:type="spellStart"/>
      <w:r w:rsidRPr="00B614BB">
        <w:rPr>
          <w:sz w:val="20"/>
          <w:szCs w:val="20"/>
        </w:rPr>
        <w:t>Zarnowiec</w:t>
      </w:r>
      <w:proofErr w:type="spellEnd"/>
      <w:r w:rsidRPr="00B614BB">
        <w:rPr>
          <w:sz w:val="20"/>
          <w:szCs w:val="20"/>
        </w:rPr>
        <w:t xml:space="preserve"> je místem, kde je nedostavěná nukleární elektrárna (po pádu komunismu ji nedostavěli), ve městě je široká podpora, naopak proti je tradičně Greenpeace a opoziční strana Právo a spravedlnost (Janusz </w:t>
      </w:r>
      <w:proofErr w:type="spellStart"/>
      <w:r w:rsidRPr="00B614BB">
        <w:rPr>
          <w:sz w:val="20"/>
          <w:szCs w:val="20"/>
        </w:rPr>
        <w:t>Piechocinski</w:t>
      </w:r>
      <w:proofErr w:type="spellEnd"/>
      <w:r w:rsidRPr="00B614BB">
        <w:rPr>
          <w:sz w:val="20"/>
          <w:szCs w:val="20"/>
        </w:rPr>
        <w:t>, chtějí referendum o jaderné energii), na celonárodní úrovni podporuje jádro 50 % lidí, 8 % je nerozhodnutých</w:t>
      </w:r>
    </w:p>
    <w:p w:rsidR="005D04F6" w:rsidRDefault="005D04F6" w:rsidP="007E6DCD">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308E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clip_image001"/>
      </v:shape>
    </w:pict>
  </w:numPicBullet>
  <w:numPicBullet w:numPicBulletId="1">
    <w:pict>
      <v:shape id="_x0000_i1031" type="#_x0000_t75" style="width:3in;height:3in" o:bullet="t">
        <v:imagedata r:id="rId2" o:title="artF6F3"/>
      </v:shape>
    </w:pict>
  </w:numPicBullet>
  <w:abstractNum w:abstractNumId="0" w15:restartNumberingAfterBreak="0">
    <w:nsid w:val="FFFFFF89"/>
    <w:multiLevelType w:val="singleLevel"/>
    <w:tmpl w:val="74AC4B64"/>
    <w:name w:val="0.3440777"/>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F22A3"/>
    <w:multiLevelType w:val="hybridMultilevel"/>
    <w:tmpl w:val="ECEE2C28"/>
    <w:lvl w:ilvl="0" w:tplc="CD281F60">
      <w:start w:val="847"/>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26C19"/>
    <w:multiLevelType w:val="hybridMultilevel"/>
    <w:tmpl w:val="91945C82"/>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D9456B"/>
    <w:multiLevelType w:val="hybridMultilevel"/>
    <w:tmpl w:val="9D3CAF6A"/>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8E0CB6"/>
    <w:multiLevelType w:val="hybridMultilevel"/>
    <w:tmpl w:val="B51A29B4"/>
    <w:lvl w:ilvl="0" w:tplc="CD281F60">
      <w:start w:val="847"/>
      <w:numFmt w:val="bullet"/>
      <w:lvlText w:val=""/>
      <w:lvlPicBulletId w:val="0"/>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7779BA"/>
    <w:multiLevelType w:val="hybridMultilevel"/>
    <w:tmpl w:val="36E8AF82"/>
    <w:lvl w:ilvl="0" w:tplc="0662339E">
      <w:start w:val="1"/>
      <w:numFmt w:val="decimal"/>
      <w:lvlText w:val="%1."/>
      <w:lvlJc w:val="left"/>
      <w:pPr>
        <w:tabs>
          <w:tab w:val="num" w:pos="720"/>
        </w:tabs>
        <w:ind w:left="720" w:hanging="360"/>
      </w:pPr>
    </w:lvl>
    <w:lvl w:ilvl="1" w:tplc="CD281F60">
      <w:start w:val="847"/>
      <w:numFmt w:val="bullet"/>
      <w:lvlText w:val=""/>
      <w:lvlPicBulletId w:val="0"/>
      <w:lvlJc w:val="left"/>
      <w:pPr>
        <w:tabs>
          <w:tab w:val="num" w:pos="1440"/>
        </w:tabs>
        <w:ind w:left="1440" w:hanging="360"/>
      </w:pPr>
      <w:rPr>
        <w:rFonts w:ascii="Symbol" w:hAnsi="Symbol" w:hint="default"/>
      </w:rPr>
    </w:lvl>
    <w:lvl w:ilvl="2" w:tplc="81202CC8" w:tentative="1">
      <w:start w:val="1"/>
      <w:numFmt w:val="decimal"/>
      <w:lvlText w:val="%3."/>
      <w:lvlJc w:val="left"/>
      <w:pPr>
        <w:tabs>
          <w:tab w:val="num" w:pos="2160"/>
        </w:tabs>
        <w:ind w:left="2160" w:hanging="360"/>
      </w:pPr>
    </w:lvl>
    <w:lvl w:ilvl="3" w:tplc="4C7455A8" w:tentative="1">
      <w:start w:val="1"/>
      <w:numFmt w:val="decimal"/>
      <w:lvlText w:val="%4."/>
      <w:lvlJc w:val="left"/>
      <w:pPr>
        <w:tabs>
          <w:tab w:val="num" w:pos="2880"/>
        </w:tabs>
        <w:ind w:left="2880" w:hanging="360"/>
      </w:pPr>
    </w:lvl>
    <w:lvl w:ilvl="4" w:tplc="A56EF6D6" w:tentative="1">
      <w:start w:val="1"/>
      <w:numFmt w:val="decimal"/>
      <w:lvlText w:val="%5."/>
      <w:lvlJc w:val="left"/>
      <w:pPr>
        <w:tabs>
          <w:tab w:val="num" w:pos="3600"/>
        </w:tabs>
        <w:ind w:left="3600" w:hanging="360"/>
      </w:pPr>
    </w:lvl>
    <w:lvl w:ilvl="5" w:tplc="1D56CE9A" w:tentative="1">
      <w:start w:val="1"/>
      <w:numFmt w:val="decimal"/>
      <w:lvlText w:val="%6."/>
      <w:lvlJc w:val="left"/>
      <w:pPr>
        <w:tabs>
          <w:tab w:val="num" w:pos="4320"/>
        </w:tabs>
        <w:ind w:left="4320" w:hanging="360"/>
      </w:pPr>
    </w:lvl>
    <w:lvl w:ilvl="6" w:tplc="9E26AEC4" w:tentative="1">
      <w:start w:val="1"/>
      <w:numFmt w:val="decimal"/>
      <w:lvlText w:val="%7."/>
      <w:lvlJc w:val="left"/>
      <w:pPr>
        <w:tabs>
          <w:tab w:val="num" w:pos="5040"/>
        </w:tabs>
        <w:ind w:left="5040" w:hanging="360"/>
      </w:pPr>
    </w:lvl>
    <w:lvl w:ilvl="7" w:tplc="19705DD6" w:tentative="1">
      <w:start w:val="1"/>
      <w:numFmt w:val="decimal"/>
      <w:lvlText w:val="%8."/>
      <w:lvlJc w:val="left"/>
      <w:pPr>
        <w:tabs>
          <w:tab w:val="num" w:pos="5760"/>
        </w:tabs>
        <w:ind w:left="5760" w:hanging="360"/>
      </w:pPr>
    </w:lvl>
    <w:lvl w:ilvl="8" w:tplc="55588760" w:tentative="1">
      <w:start w:val="1"/>
      <w:numFmt w:val="decimal"/>
      <w:lvlText w:val="%9."/>
      <w:lvlJc w:val="left"/>
      <w:pPr>
        <w:tabs>
          <w:tab w:val="num" w:pos="6480"/>
        </w:tabs>
        <w:ind w:left="6480" w:hanging="360"/>
      </w:pPr>
    </w:lvl>
  </w:abstractNum>
  <w:abstractNum w:abstractNumId="6" w15:restartNumberingAfterBreak="0">
    <w:nsid w:val="04E87A46"/>
    <w:multiLevelType w:val="hybridMultilevel"/>
    <w:tmpl w:val="E50C7EA6"/>
    <w:lvl w:ilvl="0" w:tplc="04050019">
      <w:start w:val="1"/>
      <w:numFmt w:val="lowerLetter"/>
      <w:lvlText w:val="%1."/>
      <w:lvlJc w:val="left"/>
      <w:pPr>
        <w:ind w:left="4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7B5CB0"/>
    <w:multiLevelType w:val="hybridMultilevel"/>
    <w:tmpl w:val="43DCB22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D842CF"/>
    <w:multiLevelType w:val="hybridMultilevel"/>
    <w:tmpl w:val="5F16466C"/>
    <w:lvl w:ilvl="0" w:tplc="0662339E">
      <w:start w:val="1"/>
      <w:numFmt w:val="decimal"/>
      <w:lvlText w:val="%1."/>
      <w:lvlJc w:val="left"/>
      <w:pPr>
        <w:tabs>
          <w:tab w:val="num" w:pos="720"/>
        </w:tabs>
        <w:ind w:left="720" w:hanging="360"/>
      </w:pPr>
    </w:lvl>
    <w:lvl w:ilvl="1" w:tplc="CD281F60">
      <w:start w:val="847"/>
      <w:numFmt w:val="bullet"/>
      <w:lvlText w:val=""/>
      <w:lvlPicBulletId w:val="0"/>
      <w:lvlJc w:val="left"/>
      <w:pPr>
        <w:tabs>
          <w:tab w:val="num" w:pos="1440"/>
        </w:tabs>
        <w:ind w:left="1440" w:hanging="360"/>
      </w:pPr>
      <w:rPr>
        <w:rFonts w:ascii="Symbol" w:hAnsi="Symbol" w:hint="default"/>
      </w:rPr>
    </w:lvl>
    <w:lvl w:ilvl="2" w:tplc="81202CC8" w:tentative="1">
      <w:start w:val="1"/>
      <w:numFmt w:val="decimal"/>
      <w:lvlText w:val="%3."/>
      <w:lvlJc w:val="left"/>
      <w:pPr>
        <w:tabs>
          <w:tab w:val="num" w:pos="2160"/>
        </w:tabs>
        <w:ind w:left="2160" w:hanging="360"/>
      </w:pPr>
    </w:lvl>
    <w:lvl w:ilvl="3" w:tplc="4C7455A8" w:tentative="1">
      <w:start w:val="1"/>
      <w:numFmt w:val="decimal"/>
      <w:lvlText w:val="%4."/>
      <w:lvlJc w:val="left"/>
      <w:pPr>
        <w:tabs>
          <w:tab w:val="num" w:pos="2880"/>
        </w:tabs>
        <w:ind w:left="2880" w:hanging="360"/>
      </w:pPr>
    </w:lvl>
    <w:lvl w:ilvl="4" w:tplc="A56EF6D6" w:tentative="1">
      <w:start w:val="1"/>
      <w:numFmt w:val="decimal"/>
      <w:lvlText w:val="%5."/>
      <w:lvlJc w:val="left"/>
      <w:pPr>
        <w:tabs>
          <w:tab w:val="num" w:pos="3600"/>
        </w:tabs>
        <w:ind w:left="3600" w:hanging="360"/>
      </w:pPr>
    </w:lvl>
    <w:lvl w:ilvl="5" w:tplc="1D56CE9A" w:tentative="1">
      <w:start w:val="1"/>
      <w:numFmt w:val="decimal"/>
      <w:lvlText w:val="%6."/>
      <w:lvlJc w:val="left"/>
      <w:pPr>
        <w:tabs>
          <w:tab w:val="num" w:pos="4320"/>
        </w:tabs>
        <w:ind w:left="4320" w:hanging="360"/>
      </w:pPr>
    </w:lvl>
    <w:lvl w:ilvl="6" w:tplc="9E26AEC4" w:tentative="1">
      <w:start w:val="1"/>
      <w:numFmt w:val="decimal"/>
      <w:lvlText w:val="%7."/>
      <w:lvlJc w:val="left"/>
      <w:pPr>
        <w:tabs>
          <w:tab w:val="num" w:pos="5040"/>
        </w:tabs>
        <w:ind w:left="5040" w:hanging="360"/>
      </w:pPr>
    </w:lvl>
    <w:lvl w:ilvl="7" w:tplc="19705DD6" w:tentative="1">
      <w:start w:val="1"/>
      <w:numFmt w:val="decimal"/>
      <w:lvlText w:val="%8."/>
      <w:lvlJc w:val="left"/>
      <w:pPr>
        <w:tabs>
          <w:tab w:val="num" w:pos="5760"/>
        </w:tabs>
        <w:ind w:left="5760" w:hanging="360"/>
      </w:pPr>
    </w:lvl>
    <w:lvl w:ilvl="8" w:tplc="55588760" w:tentative="1">
      <w:start w:val="1"/>
      <w:numFmt w:val="decimal"/>
      <w:lvlText w:val="%9."/>
      <w:lvlJc w:val="left"/>
      <w:pPr>
        <w:tabs>
          <w:tab w:val="num" w:pos="6480"/>
        </w:tabs>
        <w:ind w:left="6480" w:hanging="360"/>
      </w:pPr>
    </w:lvl>
  </w:abstractNum>
  <w:abstractNum w:abstractNumId="9" w15:restartNumberingAfterBreak="0">
    <w:nsid w:val="071E4007"/>
    <w:multiLevelType w:val="multilevel"/>
    <w:tmpl w:val="952409CA"/>
    <w:lvl w:ilvl="0">
      <w:start w:val="1"/>
      <w:numFmt w:val="decimal"/>
      <w:pStyle w:val="Nadpis1"/>
      <w:lvlText w:val="%1"/>
      <w:lvlJc w:val="left"/>
      <w:pPr>
        <w:ind w:left="432" w:hanging="432"/>
      </w:pPr>
      <w:rPr>
        <w:rFonts w:hint="default"/>
        <w:color w:val="auto"/>
      </w:rPr>
    </w:lvl>
    <w:lvl w:ilvl="1">
      <w:start w:val="1"/>
      <w:numFmt w:val="decimal"/>
      <w:pStyle w:val="Nadpis2"/>
      <w:lvlText w:val="%1.%2"/>
      <w:lvlJc w:val="left"/>
      <w:pPr>
        <w:ind w:left="576" w:hanging="576"/>
      </w:pPr>
      <w:rPr>
        <w:rFonts w:hint="default"/>
        <w:color w:val="auto"/>
      </w:rPr>
    </w:lvl>
    <w:lvl w:ilvl="2">
      <w:start w:val="1"/>
      <w:numFmt w:val="decimal"/>
      <w:pStyle w:val="Nadpis3"/>
      <w:lvlText w:val="%1.%2.%3"/>
      <w:lvlJc w:val="left"/>
      <w:pPr>
        <w:ind w:left="720" w:hanging="720"/>
      </w:pPr>
      <w:rPr>
        <w:rFonts w:hint="default"/>
        <w:color w:val="auto"/>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color w:val="auto"/>
      </w:rPr>
    </w:lvl>
    <w:lvl w:ilvl="5">
      <w:start w:val="1"/>
      <w:numFmt w:val="decimal"/>
      <w:pStyle w:val="Nadpis6"/>
      <w:lvlText w:val="%1.%2.%3.%4.%5.%6"/>
      <w:lvlJc w:val="left"/>
      <w:pPr>
        <w:ind w:left="1152" w:hanging="1152"/>
      </w:pPr>
      <w:rPr>
        <w:rFonts w:hint="default"/>
        <w:color w:val="auto"/>
      </w:rPr>
    </w:lvl>
    <w:lvl w:ilvl="6">
      <w:start w:val="1"/>
      <w:numFmt w:val="decimal"/>
      <w:pStyle w:val="Nadpis7"/>
      <w:lvlText w:val="%1.%2.%3.%4.%5.%6.%7"/>
      <w:lvlJc w:val="left"/>
      <w:pPr>
        <w:ind w:left="1296" w:hanging="1296"/>
      </w:pPr>
      <w:rPr>
        <w:rFonts w:hint="default"/>
        <w:color w:val="auto"/>
      </w:rPr>
    </w:lvl>
    <w:lvl w:ilvl="7">
      <w:start w:val="1"/>
      <w:numFmt w:val="decimal"/>
      <w:pStyle w:val="Nadpis8"/>
      <w:lvlText w:val="%1.%2.%3.%4.%5.%6.%7.%8"/>
      <w:lvlJc w:val="left"/>
      <w:pPr>
        <w:ind w:left="1440" w:hanging="1440"/>
      </w:pPr>
      <w:rPr>
        <w:rFonts w:hint="default"/>
        <w:color w:val="auto"/>
      </w:rPr>
    </w:lvl>
    <w:lvl w:ilvl="8">
      <w:start w:val="1"/>
      <w:numFmt w:val="decimal"/>
      <w:pStyle w:val="Nadpis9"/>
      <w:lvlText w:val="%1.%2.%3.%4.%5.%6.%7.%8.%9"/>
      <w:lvlJc w:val="left"/>
      <w:pPr>
        <w:ind w:left="1584" w:hanging="1584"/>
      </w:pPr>
      <w:rPr>
        <w:rFonts w:hint="default"/>
        <w:color w:val="auto"/>
      </w:rPr>
    </w:lvl>
  </w:abstractNum>
  <w:abstractNum w:abstractNumId="10" w15:restartNumberingAfterBreak="0">
    <w:nsid w:val="087E68A5"/>
    <w:multiLevelType w:val="hybridMultilevel"/>
    <w:tmpl w:val="9078D9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98353E"/>
    <w:multiLevelType w:val="hybridMultilevel"/>
    <w:tmpl w:val="A716764E"/>
    <w:lvl w:ilvl="0" w:tplc="04050003">
      <w:start w:val="1"/>
      <w:numFmt w:val="bullet"/>
      <w:lvlText w:val="o"/>
      <w:lvlJc w:val="left"/>
      <w:pPr>
        <w:ind w:left="2138" w:hanging="360"/>
      </w:pPr>
      <w:rPr>
        <w:rFonts w:ascii="Courier New" w:hAnsi="Courier New" w:cs="Courier New"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09A36B7D"/>
    <w:multiLevelType w:val="hybridMultilevel"/>
    <w:tmpl w:val="E2CE8FF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A742BAE"/>
    <w:multiLevelType w:val="hybridMultilevel"/>
    <w:tmpl w:val="CA54B732"/>
    <w:lvl w:ilvl="0" w:tplc="5AB419E0">
      <w:start w:val="2"/>
      <w:numFmt w:val="bullet"/>
      <w:lvlText w:val="-"/>
      <w:lvlJc w:val="left"/>
      <w:pPr>
        <w:ind w:left="1770" w:hanging="360"/>
      </w:pPr>
      <w:rPr>
        <w:rFonts w:ascii="Calibri" w:eastAsiaTheme="minorHAnsi" w:hAnsi="Calibri" w:cstheme="minorBidi" w:hint="default"/>
      </w:rPr>
    </w:lvl>
    <w:lvl w:ilvl="1" w:tplc="04050003">
      <w:start w:val="1"/>
      <w:numFmt w:val="bullet"/>
      <w:lvlText w:val="o"/>
      <w:lvlJc w:val="left"/>
      <w:pPr>
        <w:ind w:left="2490" w:hanging="360"/>
      </w:pPr>
      <w:rPr>
        <w:rFonts w:ascii="Courier New" w:hAnsi="Courier New" w:cs="Courier New" w:hint="default"/>
      </w:rPr>
    </w:lvl>
    <w:lvl w:ilvl="2" w:tplc="CD281F60">
      <w:start w:val="847"/>
      <w:numFmt w:val="bullet"/>
      <w:lvlText w:val=""/>
      <w:lvlPicBulletId w:val="0"/>
      <w:lvlJc w:val="left"/>
      <w:pPr>
        <w:ind w:left="3210" w:hanging="360"/>
      </w:pPr>
      <w:rPr>
        <w:rFonts w:ascii="Symbol" w:hAnsi="Symbol"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4" w15:restartNumberingAfterBreak="0">
    <w:nsid w:val="0B282A28"/>
    <w:multiLevelType w:val="hybridMultilevel"/>
    <w:tmpl w:val="F62E043A"/>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DB010F"/>
    <w:multiLevelType w:val="hybridMultilevel"/>
    <w:tmpl w:val="91167494"/>
    <w:lvl w:ilvl="0" w:tplc="CD281F60">
      <w:start w:val="847"/>
      <w:numFmt w:val="bullet"/>
      <w:lvlText w:val=""/>
      <w:lvlPicBulletId w:val="0"/>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0C107E3F"/>
    <w:multiLevelType w:val="hybridMultilevel"/>
    <w:tmpl w:val="2744D8D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15:restartNumberingAfterBreak="0">
    <w:nsid w:val="0C7356B5"/>
    <w:multiLevelType w:val="hybridMultilevel"/>
    <w:tmpl w:val="37A2C63E"/>
    <w:lvl w:ilvl="0" w:tplc="43B6F9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D483550"/>
    <w:multiLevelType w:val="hybridMultilevel"/>
    <w:tmpl w:val="D360B17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0D8D1151"/>
    <w:multiLevelType w:val="hybridMultilevel"/>
    <w:tmpl w:val="108642DA"/>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21" w15:restartNumberingAfterBreak="0">
    <w:nsid w:val="0ECC4C97"/>
    <w:multiLevelType w:val="hybridMultilevel"/>
    <w:tmpl w:val="F4FACDE8"/>
    <w:lvl w:ilvl="0" w:tplc="CD281F60">
      <w:start w:val="847"/>
      <w:numFmt w:val="bullet"/>
      <w:lvlText w:val=""/>
      <w:lvlPicBulletId w:val="0"/>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0EFD2479"/>
    <w:multiLevelType w:val="hybridMultilevel"/>
    <w:tmpl w:val="D5187606"/>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293E54"/>
    <w:multiLevelType w:val="hybridMultilevel"/>
    <w:tmpl w:val="B0368866"/>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F696E64"/>
    <w:multiLevelType w:val="hybridMultilevel"/>
    <w:tmpl w:val="A82AC3C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F53114"/>
    <w:multiLevelType w:val="hybridMultilevel"/>
    <w:tmpl w:val="84C4E88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119F30A2"/>
    <w:multiLevelType w:val="hybridMultilevel"/>
    <w:tmpl w:val="E4A63522"/>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1C30C42"/>
    <w:multiLevelType w:val="hybridMultilevel"/>
    <w:tmpl w:val="A8AAEAF4"/>
    <w:lvl w:ilvl="0" w:tplc="D76CE18E">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142D2EA1"/>
    <w:multiLevelType w:val="hybridMultilevel"/>
    <w:tmpl w:val="86A630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5700F12"/>
    <w:multiLevelType w:val="hybridMultilevel"/>
    <w:tmpl w:val="1D72236C"/>
    <w:lvl w:ilvl="0" w:tplc="A2B6A554">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15AB6593"/>
    <w:multiLevelType w:val="hybridMultilevel"/>
    <w:tmpl w:val="9146A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98C4733"/>
    <w:multiLevelType w:val="hybridMultilevel"/>
    <w:tmpl w:val="643E120C"/>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A765235"/>
    <w:multiLevelType w:val="hybridMultilevel"/>
    <w:tmpl w:val="F2F64A42"/>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CED5D9A"/>
    <w:multiLevelType w:val="hybridMultilevel"/>
    <w:tmpl w:val="41B8BD3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D811766"/>
    <w:multiLevelType w:val="hybridMultilevel"/>
    <w:tmpl w:val="B2665EB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F2D343B"/>
    <w:multiLevelType w:val="hybridMultilevel"/>
    <w:tmpl w:val="12328DEA"/>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22050A8"/>
    <w:multiLevelType w:val="multilevel"/>
    <w:tmpl w:val="804EBF5A"/>
    <w:lvl w:ilvl="0">
      <w:start w:val="1"/>
      <w:numFmt w:val="decimal"/>
      <w:pStyle w:val="TableHeading"/>
      <w:lvlText w:val="Tab. %1"/>
      <w:lvlJc w:val="left"/>
      <w:pPr>
        <w:tabs>
          <w:tab w:val="num" w:pos="318"/>
        </w:tabs>
        <w:ind w:left="318" w:firstLine="0"/>
      </w:pPr>
      <w:rPr>
        <w:rFonts w:ascii="Arial" w:hAnsi="Arial" w:cs="Times New Roman" w:hint="default"/>
        <w:b/>
        <w:i w:val="0"/>
        <w:caps w:val="0"/>
        <w:strike w:val="0"/>
        <w:dstrike w:val="0"/>
        <w:vanish w:val="0"/>
        <w:webHidden w:val="0"/>
        <w:color w:val="000000"/>
        <w:sz w:val="16"/>
        <w:szCs w:val="16"/>
        <w:u w:val="none"/>
        <w:effect w:val="none"/>
        <w:vertAlign w:val="baseline"/>
        <w:specVanish w:val="0"/>
      </w:rPr>
    </w:lvl>
    <w:lvl w:ilvl="1">
      <w:start w:val="1"/>
      <w:numFmt w:val="decimal"/>
      <w:lvlText w:val="%1.%2."/>
      <w:lvlJc w:val="left"/>
      <w:pPr>
        <w:tabs>
          <w:tab w:val="num" w:pos="387"/>
        </w:tabs>
        <w:ind w:left="27" w:firstLine="0"/>
      </w:pPr>
    </w:lvl>
    <w:lvl w:ilvl="2">
      <w:start w:val="1"/>
      <w:numFmt w:val="decimal"/>
      <w:lvlText w:val="%1.%2.%3."/>
      <w:lvlJc w:val="left"/>
      <w:pPr>
        <w:tabs>
          <w:tab w:val="num" w:pos="900"/>
        </w:tabs>
        <w:ind w:left="684" w:hanging="504"/>
      </w:pPr>
    </w:lvl>
    <w:lvl w:ilvl="3">
      <w:start w:val="1"/>
      <w:numFmt w:val="decimal"/>
      <w:lvlText w:val="%1.%2.%3.%4."/>
      <w:lvlJc w:val="left"/>
      <w:pPr>
        <w:tabs>
          <w:tab w:val="num" w:pos="1620"/>
        </w:tabs>
        <w:ind w:left="1188" w:hanging="648"/>
      </w:pPr>
    </w:lvl>
    <w:lvl w:ilvl="4">
      <w:start w:val="1"/>
      <w:numFmt w:val="decimal"/>
      <w:lvlText w:val="%1.%2.%3.%4.%5."/>
      <w:lvlJc w:val="left"/>
      <w:pPr>
        <w:tabs>
          <w:tab w:val="num" w:pos="1980"/>
        </w:tabs>
        <w:ind w:left="1692" w:hanging="792"/>
      </w:pPr>
    </w:lvl>
    <w:lvl w:ilvl="5">
      <w:start w:val="1"/>
      <w:numFmt w:val="decimal"/>
      <w:lvlText w:val="%1.%2.%3.%4.%5.%6."/>
      <w:lvlJc w:val="left"/>
      <w:pPr>
        <w:tabs>
          <w:tab w:val="num" w:pos="2700"/>
        </w:tabs>
        <w:ind w:left="2196" w:hanging="936"/>
      </w:pPr>
    </w:lvl>
    <w:lvl w:ilvl="6">
      <w:start w:val="1"/>
      <w:numFmt w:val="decimal"/>
      <w:lvlText w:val="%1.%2.%3.%4.%5.%6.%7."/>
      <w:lvlJc w:val="left"/>
      <w:pPr>
        <w:tabs>
          <w:tab w:val="num" w:pos="3060"/>
        </w:tabs>
        <w:ind w:left="2700" w:hanging="1080"/>
      </w:pPr>
    </w:lvl>
    <w:lvl w:ilvl="7">
      <w:start w:val="1"/>
      <w:numFmt w:val="decimal"/>
      <w:lvlText w:val="%1.%2.%3.%4.%5.%6.%7.%8."/>
      <w:lvlJc w:val="left"/>
      <w:pPr>
        <w:tabs>
          <w:tab w:val="num" w:pos="3780"/>
        </w:tabs>
        <w:ind w:left="3204" w:hanging="1224"/>
      </w:pPr>
    </w:lvl>
    <w:lvl w:ilvl="8">
      <w:start w:val="1"/>
      <w:numFmt w:val="decimal"/>
      <w:lvlText w:val="%1.%2.%3.%4.%5.%6.%7.%8.%9."/>
      <w:lvlJc w:val="left"/>
      <w:pPr>
        <w:tabs>
          <w:tab w:val="num" w:pos="4500"/>
        </w:tabs>
        <w:ind w:left="3780" w:hanging="1440"/>
      </w:pPr>
    </w:lvl>
  </w:abstractNum>
  <w:abstractNum w:abstractNumId="37" w15:restartNumberingAfterBreak="0">
    <w:nsid w:val="22386F9E"/>
    <w:multiLevelType w:val="multilevel"/>
    <w:tmpl w:val="6CD83A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23915D8"/>
    <w:multiLevelType w:val="hybridMultilevel"/>
    <w:tmpl w:val="7C1EEFE6"/>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2816394"/>
    <w:multiLevelType w:val="hybridMultilevel"/>
    <w:tmpl w:val="667628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36B75E3"/>
    <w:multiLevelType w:val="hybridMultilevel"/>
    <w:tmpl w:val="7FAC76A6"/>
    <w:lvl w:ilvl="0" w:tplc="E58CC75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3721375"/>
    <w:multiLevelType w:val="hybridMultilevel"/>
    <w:tmpl w:val="3AF8915C"/>
    <w:lvl w:ilvl="0" w:tplc="590CAC66">
      <w:start w:val="2"/>
      <w:numFmt w:val="bullet"/>
      <w:lvlText w:val="-"/>
      <w:lvlJc w:val="left"/>
      <w:pPr>
        <w:ind w:left="511" w:hanging="360"/>
      </w:pPr>
      <w:rPr>
        <w:rFonts w:ascii="Arial" w:eastAsia="Batang" w:hAnsi="Arial" w:cs="Arial" w:hint="default"/>
      </w:rPr>
    </w:lvl>
    <w:lvl w:ilvl="1" w:tplc="04050003" w:tentative="1">
      <w:start w:val="1"/>
      <w:numFmt w:val="bullet"/>
      <w:lvlText w:val="o"/>
      <w:lvlJc w:val="left"/>
      <w:pPr>
        <w:ind w:left="1231" w:hanging="360"/>
      </w:pPr>
      <w:rPr>
        <w:rFonts w:ascii="Courier New" w:hAnsi="Courier New" w:cs="Courier New" w:hint="default"/>
      </w:rPr>
    </w:lvl>
    <w:lvl w:ilvl="2" w:tplc="04050005" w:tentative="1">
      <w:start w:val="1"/>
      <w:numFmt w:val="bullet"/>
      <w:lvlText w:val=""/>
      <w:lvlJc w:val="left"/>
      <w:pPr>
        <w:ind w:left="1951" w:hanging="360"/>
      </w:pPr>
      <w:rPr>
        <w:rFonts w:ascii="Wingdings" w:hAnsi="Wingdings" w:hint="default"/>
      </w:rPr>
    </w:lvl>
    <w:lvl w:ilvl="3" w:tplc="04050001" w:tentative="1">
      <w:start w:val="1"/>
      <w:numFmt w:val="bullet"/>
      <w:lvlText w:val=""/>
      <w:lvlJc w:val="left"/>
      <w:pPr>
        <w:ind w:left="2671" w:hanging="360"/>
      </w:pPr>
      <w:rPr>
        <w:rFonts w:ascii="Symbol" w:hAnsi="Symbol" w:hint="default"/>
      </w:rPr>
    </w:lvl>
    <w:lvl w:ilvl="4" w:tplc="04050003" w:tentative="1">
      <w:start w:val="1"/>
      <w:numFmt w:val="bullet"/>
      <w:lvlText w:val="o"/>
      <w:lvlJc w:val="left"/>
      <w:pPr>
        <w:ind w:left="3391" w:hanging="360"/>
      </w:pPr>
      <w:rPr>
        <w:rFonts w:ascii="Courier New" w:hAnsi="Courier New" w:cs="Courier New" w:hint="default"/>
      </w:rPr>
    </w:lvl>
    <w:lvl w:ilvl="5" w:tplc="04050005" w:tentative="1">
      <w:start w:val="1"/>
      <w:numFmt w:val="bullet"/>
      <w:lvlText w:val=""/>
      <w:lvlJc w:val="left"/>
      <w:pPr>
        <w:ind w:left="4111" w:hanging="360"/>
      </w:pPr>
      <w:rPr>
        <w:rFonts w:ascii="Wingdings" w:hAnsi="Wingdings" w:hint="default"/>
      </w:rPr>
    </w:lvl>
    <w:lvl w:ilvl="6" w:tplc="04050001" w:tentative="1">
      <w:start w:val="1"/>
      <w:numFmt w:val="bullet"/>
      <w:lvlText w:val=""/>
      <w:lvlJc w:val="left"/>
      <w:pPr>
        <w:ind w:left="4831" w:hanging="360"/>
      </w:pPr>
      <w:rPr>
        <w:rFonts w:ascii="Symbol" w:hAnsi="Symbol" w:hint="default"/>
      </w:rPr>
    </w:lvl>
    <w:lvl w:ilvl="7" w:tplc="04050003" w:tentative="1">
      <w:start w:val="1"/>
      <w:numFmt w:val="bullet"/>
      <w:lvlText w:val="o"/>
      <w:lvlJc w:val="left"/>
      <w:pPr>
        <w:ind w:left="5551" w:hanging="360"/>
      </w:pPr>
      <w:rPr>
        <w:rFonts w:ascii="Courier New" w:hAnsi="Courier New" w:cs="Courier New" w:hint="default"/>
      </w:rPr>
    </w:lvl>
    <w:lvl w:ilvl="8" w:tplc="04050005" w:tentative="1">
      <w:start w:val="1"/>
      <w:numFmt w:val="bullet"/>
      <w:lvlText w:val=""/>
      <w:lvlJc w:val="left"/>
      <w:pPr>
        <w:ind w:left="6271" w:hanging="360"/>
      </w:pPr>
      <w:rPr>
        <w:rFonts w:ascii="Wingdings" w:hAnsi="Wingdings" w:hint="default"/>
      </w:rPr>
    </w:lvl>
  </w:abstractNum>
  <w:abstractNum w:abstractNumId="42" w15:restartNumberingAfterBreak="0">
    <w:nsid w:val="238D0D0A"/>
    <w:multiLevelType w:val="hybridMultilevel"/>
    <w:tmpl w:val="B762E410"/>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519588F"/>
    <w:multiLevelType w:val="hybridMultilevel"/>
    <w:tmpl w:val="3F2CF38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7651246"/>
    <w:multiLevelType w:val="hybridMultilevel"/>
    <w:tmpl w:val="7FAC76A6"/>
    <w:lvl w:ilvl="0" w:tplc="E58CC75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B505AD1"/>
    <w:multiLevelType w:val="hybridMultilevel"/>
    <w:tmpl w:val="7620063E"/>
    <w:lvl w:ilvl="0" w:tplc="AF5022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BF04520"/>
    <w:multiLevelType w:val="hybridMultilevel"/>
    <w:tmpl w:val="557CFAA2"/>
    <w:lvl w:ilvl="0" w:tplc="0662339E">
      <w:start w:val="1"/>
      <w:numFmt w:val="decimal"/>
      <w:lvlText w:val="%1."/>
      <w:lvlJc w:val="left"/>
      <w:pPr>
        <w:tabs>
          <w:tab w:val="num" w:pos="720"/>
        </w:tabs>
        <w:ind w:left="720" w:hanging="360"/>
      </w:pPr>
    </w:lvl>
    <w:lvl w:ilvl="1" w:tplc="CD281F60">
      <w:start w:val="847"/>
      <w:numFmt w:val="bullet"/>
      <w:lvlText w:val=""/>
      <w:lvlPicBulletId w:val="0"/>
      <w:lvlJc w:val="left"/>
      <w:pPr>
        <w:tabs>
          <w:tab w:val="num" w:pos="1440"/>
        </w:tabs>
        <w:ind w:left="1440" w:hanging="360"/>
      </w:pPr>
      <w:rPr>
        <w:rFonts w:ascii="Symbol" w:hAnsi="Symbol" w:hint="default"/>
      </w:rPr>
    </w:lvl>
    <w:lvl w:ilvl="2" w:tplc="81202CC8" w:tentative="1">
      <w:start w:val="1"/>
      <w:numFmt w:val="decimal"/>
      <w:lvlText w:val="%3."/>
      <w:lvlJc w:val="left"/>
      <w:pPr>
        <w:tabs>
          <w:tab w:val="num" w:pos="2160"/>
        </w:tabs>
        <w:ind w:left="2160" w:hanging="360"/>
      </w:pPr>
    </w:lvl>
    <w:lvl w:ilvl="3" w:tplc="4C7455A8" w:tentative="1">
      <w:start w:val="1"/>
      <w:numFmt w:val="decimal"/>
      <w:lvlText w:val="%4."/>
      <w:lvlJc w:val="left"/>
      <w:pPr>
        <w:tabs>
          <w:tab w:val="num" w:pos="2880"/>
        </w:tabs>
        <w:ind w:left="2880" w:hanging="360"/>
      </w:pPr>
    </w:lvl>
    <w:lvl w:ilvl="4" w:tplc="A56EF6D6" w:tentative="1">
      <w:start w:val="1"/>
      <w:numFmt w:val="decimal"/>
      <w:lvlText w:val="%5."/>
      <w:lvlJc w:val="left"/>
      <w:pPr>
        <w:tabs>
          <w:tab w:val="num" w:pos="3600"/>
        </w:tabs>
        <w:ind w:left="3600" w:hanging="360"/>
      </w:pPr>
    </w:lvl>
    <w:lvl w:ilvl="5" w:tplc="1D56CE9A" w:tentative="1">
      <w:start w:val="1"/>
      <w:numFmt w:val="decimal"/>
      <w:lvlText w:val="%6."/>
      <w:lvlJc w:val="left"/>
      <w:pPr>
        <w:tabs>
          <w:tab w:val="num" w:pos="4320"/>
        </w:tabs>
        <w:ind w:left="4320" w:hanging="360"/>
      </w:pPr>
    </w:lvl>
    <w:lvl w:ilvl="6" w:tplc="9E26AEC4" w:tentative="1">
      <w:start w:val="1"/>
      <w:numFmt w:val="decimal"/>
      <w:lvlText w:val="%7."/>
      <w:lvlJc w:val="left"/>
      <w:pPr>
        <w:tabs>
          <w:tab w:val="num" w:pos="5040"/>
        </w:tabs>
        <w:ind w:left="5040" w:hanging="360"/>
      </w:pPr>
    </w:lvl>
    <w:lvl w:ilvl="7" w:tplc="19705DD6" w:tentative="1">
      <w:start w:val="1"/>
      <w:numFmt w:val="decimal"/>
      <w:lvlText w:val="%8."/>
      <w:lvlJc w:val="left"/>
      <w:pPr>
        <w:tabs>
          <w:tab w:val="num" w:pos="5760"/>
        </w:tabs>
        <w:ind w:left="5760" w:hanging="360"/>
      </w:pPr>
    </w:lvl>
    <w:lvl w:ilvl="8" w:tplc="55588760" w:tentative="1">
      <w:start w:val="1"/>
      <w:numFmt w:val="decimal"/>
      <w:lvlText w:val="%9."/>
      <w:lvlJc w:val="left"/>
      <w:pPr>
        <w:tabs>
          <w:tab w:val="num" w:pos="6480"/>
        </w:tabs>
        <w:ind w:left="6480" w:hanging="360"/>
      </w:pPr>
    </w:lvl>
  </w:abstractNum>
  <w:abstractNum w:abstractNumId="47" w15:restartNumberingAfterBreak="0">
    <w:nsid w:val="2C5B5744"/>
    <w:multiLevelType w:val="hybridMultilevel"/>
    <w:tmpl w:val="1FC2A6B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2C77191D"/>
    <w:multiLevelType w:val="hybridMultilevel"/>
    <w:tmpl w:val="283273A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CAB5F57"/>
    <w:multiLevelType w:val="hybridMultilevel"/>
    <w:tmpl w:val="436CE9FA"/>
    <w:lvl w:ilvl="0" w:tplc="1D964F08">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2CBC752A"/>
    <w:multiLevelType w:val="hybridMultilevel"/>
    <w:tmpl w:val="1C5EB170"/>
    <w:lvl w:ilvl="0" w:tplc="CD281F60">
      <w:start w:val="847"/>
      <w:numFmt w:val="bullet"/>
      <w:lvlText w:val=""/>
      <w:lvlPicBulletId w:val="0"/>
      <w:lvlJc w:val="left"/>
      <w:pPr>
        <w:ind w:left="765" w:hanging="360"/>
      </w:pPr>
      <w:rPr>
        <w:rFonts w:ascii="Symbol" w:hAnsi="Symbol" w:hint="default"/>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15:restartNumberingAfterBreak="0">
    <w:nsid w:val="2E9956FD"/>
    <w:multiLevelType w:val="hybridMultilevel"/>
    <w:tmpl w:val="BB1A6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EF52545"/>
    <w:multiLevelType w:val="hybridMultilevel"/>
    <w:tmpl w:val="D99254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0085F04"/>
    <w:multiLevelType w:val="hybridMultilevel"/>
    <w:tmpl w:val="D100746C"/>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01B3F00"/>
    <w:multiLevelType w:val="hybridMultilevel"/>
    <w:tmpl w:val="5C0A81C2"/>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05864B2"/>
    <w:multiLevelType w:val="hybridMultilevel"/>
    <w:tmpl w:val="B8843156"/>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18A4739"/>
    <w:multiLevelType w:val="hybridMultilevel"/>
    <w:tmpl w:val="295C1776"/>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1E00950"/>
    <w:multiLevelType w:val="hybridMultilevel"/>
    <w:tmpl w:val="050C1AF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2A75BF8"/>
    <w:multiLevelType w:val="hybridMultilevel"/>
    <w:tmpl w:val="1EE237EC"/>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4903E07"/>
    <w:multiLevelType w:val="hybridMultilevel"/>
    <w:tmpl w:val="87240A2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639554F"/>
    <w:multiLevelType w:val="hybridMultilevel"/>
    <w:tmpl w:val="0DFE41C0"/>
    <w:lvl w:ilvl="0" w:tplc="CD281F60">
      <w:start w:val="847"/>
      <w:numFmt w:val="bullet"/>
      <w:lvlText w:val=""/>
      <w:lvlPicBulletId w:val="0"/>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1" w15:restartNumberingAfterBreak="0">
    <w:nsid w:val="36965A00"/>
    <w:multiLevelType w:val="hybridMultilevel"/>
    <w:tmpl w:val="1780023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75A36EB"/>
    <w:multiLevelType w:val="hybridMultilevel"/>
    <w:tmpl w:val="F5EE69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379D3E28"/>
    <w:multiLevelType w:val="hybridMultilevel"/>
    <w:tmpl w:val="73C4BAEC"/>
    <w:lvl w:ilvl="0" w:tplc="A184B252">
      <w:start w:val="1"/>
      <w:numFmt w:val="bullet"/>
      <w:pStyle w:val="Bullets"/>
      <w:lvlText w:val=""/>
      <w:lvlJc w:val="left"/>
      <w:pPr>
        <w:tabs>
          <w:tab w:val="num" w:pos="717"/>
        </w:tabs>
        <w:ind w:left="717" w:hanging="360"/>
      </w:pPr>
      <w:rPr>
        <w:rFonts w:ascii="Symbol" w:hAnsi="Symbol" w:hint="default"/>
      </w:rPr>
    </w:lvl>
    <w:lvl w:ilvl="1" w:tplc="98F0C4BC">
      <w:start w:val="1"/>
      <w:numFmt w:val="bullet"/>
      <w:pStyle w:val="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0C60BA"/>
    <w:multiLevelType w:val="multilevel"/>
    <w:tmpl w:val="C7C2ED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nadpistvrtrov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934300E"/>
    <w:multiLevelType w:val="hybridMultilevel"/>
    <w:tmpl w:val="7620063E"/>
    <w:lvl w:ilvl="0" w:tplc="AF5022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3A910D0A"/>
    <w:multiLevelType w:val="hybridMultilevel"/>
    <w:tmpl w:val="BF469C3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CD281F60">
      <w:start w:val="847"/>
      <w:numFmt w:val="bullet"/>
      <w:lvlText w:val=""/>
      <w:lvlPicBulletId w:val="0"/>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C7509D5"/>
    <w:multiLevelType w:val="hybridMultilevel"/>
    <w:tmpl w:val="D8A02D8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8" w15:restartNumberingAfterBreak="0">
    <w:nsid w:val="3CDF6E20"/>
    <w:multiLevelType w:val="hybridMultilevel"/>
    <w:tmpl w:val="1D409E7A"/>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DE96750"/>
    <w:multiLevelType w:val="hybridMultilevel"/>
    <w:tmpl w:val="AC0A9116"/>
    <w:lvl w:ilvl="0" w:tplc="04050005">
      <w:start w:val="1"/>
      <w:numFmt w:val="bullet"/>
      <w:lvlText w:val=""/>
      <w:lvlJc w:val="left"/>
      <w:pPr>
        <w:ind w:left="770" w:hanging="360"/>
      </w:pPr>
      <w:rPr>
        <w:rFonts w:ascii="Wingdings" w:hAnsi="Wingdings" w:hint="default"/>
      </w:rPr>
    </w:lvl>
    <w:lvl w:ilvl="1" w:tplc="04050003">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0" w15:restartNumberingAfterBreak="0">
    <w:nsid w:val="3DF52489"/>
    <w:multiLevelType w:val="hybridMultilevel"/>
    <w:tmpl w:val="8AA8F77E"/>
    <w:lvl w:ilvl="0" w:tplc="CD281F60">
      <w:start w:val="847"/>
      <w:numFmt w:val="bullet"/>
      <w:lvlText w:val=""/>
      <w:lvlPicBulletId w:val="0"/>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71" w15:restartNumberingAfterBreak="0">
    <w:nsid w:val="3F6972E1"/>
    <w:multiLevelType w:val="hybridMultilevel"/>
    <w:tmpl w:val="E25A3D04"/>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2" w15:restartNumberingAfterBreak="0">
    <w:nsid w:val="3FFF5D5A"/>
    <w:multiLevelType w:val="hybridMultilevel"/>
    <w:tmpl w:val="03AC27C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03901CE"/>
    <w:multiLevelType w:val="hybridMultilevel"/>
    <w:tmpl w:val="C930CA7E"/>
    <w:lvl w:ilvl="0" w:tplc="5AB419E0">
      <w:start w:val="2"/>
      <w:numFmt w:val="bullet"/>
      <w:lvlText w:val="-"/>
      <w:lvlJc w:val="left"/>
      <w:pPr>
        <w:ind w:left="1770" w:hanging="360"/>
      </w:pPr>
      <w:rPr>
        <w:rFonts w:ascii="Calibri" w:eastAsiaTheme="minorHAnsi" w:hAnsi="Calibri" w:cstheme="minorBidi" w:hint="default"/>
      </w:rPr>
    </w:lvl>
    <w:lvl w:ilvl="1" w:tplc="04050003">
      <w:start w:val="1"/>
      <w:numFmt w:val="bullet"/>
      <w:lvlText w:val="o"/>
      <w:lvlJc w:val="left"/>
      <w:pPr>
        <w:ind w:left="2490" w:hanging="360"/>
      </w:pPr>
      <w:rPr>
        <w:rFonts w:ascii="Courier New" w:hAnsi="Courier New" w:cs="Courier New" w:hint="default"/>
      </w:rPr>
    </w:lvl>
    <w:lvl w:ilvl="2" w:tplc="CD281F60">
      <w:start w:val="847"/>
      <w:numFmt w:val="bullet"/>
      <w:lvlText w:val=""/>
      <w:lvlPicBulletId w:val="0"/>
      <w:lvlJc w:val="left"/>
      <w:pPr>
        <w:ind w:left="3210" w:hanging="360"/>
      </w:pPr>
      <w:rPr>
        <w:rFonts w:ascii="Symbol" w:hAnsi="Symbol"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74" w15:restartNumberingAfterBreak="0">
    <w:nsid w:val="4075123A"/>
    <w:multiLevelType w:val="hybridMultilevel"/>
    <w:tmpl w:val="EF6A6AEE"/>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2946FA9"/>
    <w:multiLevelType w:val="hybridMultilevel"/>
    <w:tmpl w:val="11B49D9E"/>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2C71459"/>
    <w:multiLevelType w:val="hybridMultilevel"/>
    <w:tmpl w:val="B09A7B3C"/>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4D85594"/>
    <w:multiLevelType w:val="hybridMultilevel"/>
    <w:tmpl w:val="BF2474F8"/>
    <w:lvl w:ilvl="0" w:tplc="49BC499C">
      <w:start w:val="1"/>
      <w:numFmt w:val="bullet"/>
      <w:pStyle w:val="Rita"/>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5620684"/>
    <w:multiLevelType w:val="hybridMultilevel"/>
    <w:tmpl w:val="6C6CFEB6"/>
    <w:lvl w:ilvl="0" w:tplc="CD281F60">
      <w:start w:val="847"/>
      <w:numFmt w:val="bullet"/>
      <w:lvlText w:val=""/>
      <w:lvlPicBulletId w:val="0"/>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583066E"/>
    <w:multiLevelType w:val="hybridMultilevel"/>
    <w:tmpl w:val="A39C3896"/>
    <w:lvl w:ilvl="0" w:tplc="FFFFFFFF">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15:restartNumberingAfterBreak="0">
    <w:nsid w:val="47D85A2B"/>
    <w:multiLevelType w:val="hybridMultilevel"/>
    <w:tmpl w:val="C29457CA"/>
    <w:lvl w:ilvl="0" w:tplc="0662339E">
      <w:start w:val="1"/>
      <w:numFmt w:val="decimal"/>
      <w:lvlText w:val="%1."/>
      <w:lvlJc w:val="left"/>
      <w:pPr>
        <w:tabs>
          <w:tab w:val="num" w:pos="720"/>
        </w:tabs>
        <w:ind w:left="720" w:hanging="360"/>
      </w:pPr>
    </w:lvl>
    <w:lvl w:ilvl="1" w:tplc="CD281F60">
      <w:start w:val="847"/>
      <w:numFmt w:val="bullet"/>
      <w:lvlText w:val=""/>
      <w:lvlPicBulletId w:val="0"/>
      <w:lvlJc w:val="left"/>
      <w:pPr>
        <w:tabs>
          <w:tab w:val="num" w:pos="1440"/>
        </w:tabs>
        <w:ind w:left="1440" w:hanging="360"/>
      </w:pPr>
      <w:rPr>
        <w:rFonts w:ascii="Symbol" w:hAnsi="Symbol" w:hint="default"/>
      </w:rPr>
    </w:lvl>
    <w:lvl w:ilvl="2" w:tplc="81202CC8" w:tentative="1">
      <w:start w:val="1"/>
      <w:numFmt w:val="decimal"/>
      <w:lvlText w:val="%3."/>
      <w:lvlJc w:val="left"/>
      <w:pPr>
        <w:tabs>
          <w:tab w:val="num" w:pos="2160"/>
        </w:tabs>
        <w:ind w:left="2160" w:hanging="360"/>
      </w:pPr>
    </w:lvl>
    <w:lvl w:ilvl="3" w:tplc="4C7455A8" w:tentative="1">
      <w:start w:val="1"/>
      <w:numFmt w:val="decimal"/>
      <w:lvlText w:val="%4."/>
      <w:lvlJc w:val="left"/>
      <w:pPr>
        <w:tabs>
          <w:tab w:val="num" w:pos="2880"/>
        </w:tabs>
        <w:ind w:left="2880" w:hanging="360"/>
      </w:pPr>
    </w:lvl>
    <w:lvl w:ilvl="4" w:tplc="A56EF6D6" w:tentative="1">
      <w:start w:val="1"/>
      <w:numFmt w:val="decimal"/>
      <w:lvlText w:val="%5."/>
      <w:lvlJc w:val="left"/>
      <w:pPr>
        <w:tabs>
          <w:tab w:val="num" w:pos="3600"/>
        </w:tabs>
        <w:ind w:left="3600" w:hanging="360"/>
      </w:pPr>
    </w:lvl>
    <w:lvl w:ilvl="5" w:tplc="1D56CE9A" w:tentative="1">
      <w:start w:val="1"/>
      <w:numFmt w:val="decimal"/>
      <w:lvlText w:val="%6."/>
      <w:lvlJc w:val="left"/>
      <w:pPr>
        <w:tabs>
          <w:tab w:val="num" w:pos="4320"/>
        </w:tabs>
        <w:ind w:left="4320" w:hanging="360"/>
      </w:pPr>
    </w:lvl>
    <w:lvl w:ilvl="6" w:tplc="9E26AEC4" w:tentative="1">
      <w:start w:val="1"/>
      <w:numFmt w:val="decimal"/>
      <w:lvlText w:val="%7."/>
      <w:lvlJc w:val="left"/>
      <w:pPr>
        <w:tabs>
          <w:tab w:val="num" w:pos="5040"/>
        </w:tabs>
        <w:ind w:left="5040" w:hanging="360"/>
      </w:pPr>
    </w:lvl>
    <w:lvl w:ilvl="7" w:tplc="19705DD6" w:tentative="1">
      <w:start w:val="1"/>
      <w:numFmt w:val="decimal"/>
      <w:lvlText w:val="%8."/>
      <w:lvlJc w:val="left"/>
      <w:pPr>
        <w:tabs>
          <w:tab w:val="num" w:pos="5760"/>
        </w:tabs>
        <w:ind w:left="5760" w:hanging="360"/>
      </w:pPr>
    </w:lvl>
    <w:lvl w:ilvl="8" w:tplc="55588760" w:tentative="1">
      <w:start w:val="1"/>
      <w:numFmt w:val="decimal"/>
      <w:lvlText w:val="%9."/>
      <w:lvlJc w:val="left"/>
      <w:pPr>
        <w:tabs>
          <w:tab w:val="num" w:pos="6480"/>
        </w:tabs>
        <w:ind w:left="6480" w:hanging="360"/>
      </w:pPr>
    </w:lvl>
  </w:abstractNum>
  <w:abstractNum w:abstractNumId="81" w15:restartNumberingAfterBreak="0">
    <w:nsid w:val="48AA6A02"/>
    <w:multiLevelType w:val="hybridMultilevel"/>
    <w:tmpl w:val="49FCDB3A"/>
    <w:lvl w:ilvl="0" w:tplc="CD281F60">
      <w:start w:val="847"/>
      <w:numFmt w:val="bullet"/>
      <w:lvlText w:val=""/>
      <w:lvlPicBulletId w:val="0"/>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CC10B8"/>
    <w:multiLevelType w:val="hybridMultilevel"/>
    <w:tmpl w:val="F1341BC6"/>
    <w:lvl w:ilvl="0" w:tplc="BBE266E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3" w15:restartNumberingAfterBreak="0">
    <w:nsid w:val="49B43828"/>
    <w:multiLevelType w:val="hybridMultilevel"/>
    <w:tmpl w:val="1D14F2D2"/>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A4F0DAE"/>
    <w:multiLevelType w:val="hybridMultilevel"/>
    <w:tmpl w:val="D082B804"/>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B8151BD"/>
    <w:multiLevelType w:val="hybridMultilevel"/>
    <w:tmpl w:val="0EE015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4C5F21A0"/>
    <w:multiLevelType w:val="hybridMultilevel"/>
    <w:tmpl w:val="4FA61C08"/>
    <w:lvl w:ilvl="0" w:tplc="04050001">
      <w:start w:val="1"/>
      <w:numFmt w:val="bullet"/>
      <w:lvlText w:val=""/>
      <w:lvlJc w:val="left"/>
      <w:pPr>
        <w:ind w:left="1287" w:hanging="360"/>
      </w:pPr>
      <w:rPr>
        <w:rFonts w:ascii="Symbol" w:hAnsi="Symbol" w:hint="default"/>
      </w:rPr>
    </w:lvl>
    <w:lvl w:ilvl="1" w:tplc="2A52DE56">
      <w:start w:val="1"/>
      <w:numFmt w:val="bullet"/>
      <w:lvlText w:val=""/>
      <w:lvlPicBulletId w:val="1"/>
      <w:lvlJc w:val="left"/>
      <w:pPr>
        <w:ind w:left="2007" w:hanging="360"/>
      </w:pPr>
      <w:rPr>
        <w:rFonts w:ascii="Symbol" w:hAnsi="Symbol"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7" w15:restartNumberingAfterBreak="0">
    <w:nsid w:val="4C786F48"/>
    <w:multiLevelType w:val="hybridMultilevel"/>
    <w:tmpl w:val="FB3E21E4"/>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D393FEF"/>
    <w:multiLevelType w:val="hybridMultilevel"/>
    <w:tmpl w:val="03CAB42C"/>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D7F3E49"/>
    <w:multiLevelType w:val="hybridMultilevel"/>
    <w:tmpl w:val="980C80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4E474860"/>
    <w:multiLevelType w:val="hybridMultilevel"/>
    <w:tmpl w:val="ABF2F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4F1D4AAE"/>
    <w:multiLevelType w:val="hybridMultilevel"/>
    <w:tmpl w:val="780AA996"/>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FD8588A"/>
    <w:multiLevelType w:val="hybridMultilevel"/>
    <w:tmpl w:val="D99254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0144365"/>
    <w:multiLevelType w:val="hybridMultilevel"/>
    <w:tmpl w:val="66D6BCD8"/>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1F26F75"/>
    <w:multiLevelType w:val="hybridMultilevel"/>
    <w:tmpl w:val="7AB4F090"/>
    <w:lvl w:ilvl="0" w:tplc="64FED3FA">
      <w:start w:val="1"/>
      <w:numFmt w:val="bullet"/>
      <w:pStyle w:val="Bullet1"/>
      <w:lvlText w:val=""/>
      <w:lvlJc w:val="left"/>
      <w:pPr>
        <w:tabs>
          <w:tab w:val="num" w:pos="567"/>
        </w:tabs>
        <w:ind w:left="567" w:hanging="39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C352D3"/>
    <w:multiLevelType w:val="hybridMultilevel"/>
    <w:tmpl w:val="61580CB6"/>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30F2D3C"/>
    <w:multiLevelType w:val="hybridMultilevel"/>
    <w:tmpl w:val="2C1230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33B4702"/>
    <w:multiLevelType w:val="hybridMultilevel"/>
    <w:tmpl w:val="A948B8DC"/>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35364A1"/>
    <w:multiLevelType w:val="hybridMultilevel"/>
    <w:tmpl w:val="69322B8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74D775B"/>
    <w:multiLevelType w:val="hybridMultilevel"/>
    <w:tmpl w:val="487668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96B1AAC"/>
    <w:multiLevelType w:val="hybridMultilevel"/>
    <w:tmpl w:val="F972364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1" w15:restartNumberingAfterBreak="0">
    <w:nsid w:val="5A221D1F"/>
    <w:multiLevelType w:val="hybridMultilevel"/>
    <w:tmpl w:val="AB88EC9C"/>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A3609F8"/>
    <w:multiLevelType w:val="hybridMultilevel"/>
    <w:tmpl w:val="727A4F04"/>
    <w:lvl w:ilvl="0" w:tplc="AF50226E">
      <w:start w:val="1"/>
      <w:numFmt w:val="lowerLetter"/>
      <w:lvlText w:val="%1)"/>
      <w:lvlJc w:val="left"/>
      <w:pPr>
        <w:ind w:left="720" w:hanging="360"/>
      </w:pPr>
      <w:rPr>
        <w:rFonts w:hint="default"/>
      </w:rPr>
    </w:lvl>
    <w:lvl w:ilvl="1" w:tplc="BFB86C7E">
      <w:numFmt w:val="bullet"/>
      <w:lvlText w:val="•"/>
      <w:lvlJc w:val="left"/>
      <w:pPr>
        <w:ind w:left="1830" w:hanging="75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5C1975FA"/>
    <w:multiLevelType w:val="hybridMultilevel"/>
    <w:tmpl w:val="AD24C6BE"/>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C380CEA"/>
    <w:multiLevelType w:val="hybridMultilevel"/>
    <w:tmpl w:val="2F2059BA"/>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C9A5CD1"/>
    <w:multiLevelType w:val="hybridMultilevel"/>
    <w:tmpl w:val="2EE46FA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DC34D2E"/>
    <w:multiLevelType w:val="hybridMultilevel"/>
    <w:tmpl w:val="5854122C"/>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DFE25DB"/>
    <w:multiLevelType w:val="singleLevel"/>
    <w:tmpl w:val="DF74F384"/>
    <w:lvl w:ilvl="0">
      <w:start w:val="1"/>
      <w:numFmt w:val="bullet"/>
      <w:pStyle w:val="Odrka1"/>
      <w:lvlText w:val=""/>
      <w:lvlJc w:val="left"/>
      <w:pPr>
        <w:tabs>
          <w:tab w:val="num" w:pos="360"/>
        </w:tabs>
        <w:ind w:left="340" w:hanging="340"/>
      </w:pPr>
      <w:rPr>
        <w:rFonts w:ascii="Symbol" w:hAnsi="Symbol" w:hint="default"/>
      </w:rPr>
    </w:lvl>
  </w:abstractNum>
  <w:abstractNum w:abstractNumId="108" w15:restartNumberingAfterBreak="0">
    <w:nsid w:val="5E106364"/>
    <w:multiLevelType w:val="hybridMultilevel"/>
    <w:tmpl w:val="92D69796"/>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E4F52C5"/>
    <w:multiLevelType w:val="hybridMultilevel"/>
    <w:tmpl w:val="2AE272CE"/>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0EB6CAA"/>
    <w:multiLevelType w:val="hybridMultilevel"/>
    <w:tmpl w:val="2AA2F3EA"/>
    <w:lvl w:ilvl="0" w:tplc="2A52DE56">
      <w:start w:val="1"/>
      <w:numFmt w:val="bullet"/>
      <w:lvlText w:val=""/>
      <w:lvlPicBulletId w:val="1"/>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1" w15:restartNumberingAfterBreak="0">
    <w:nsid w:val="61A00E2A"/>
    <w:multiLevelType w:val="hybridMultilevel"/>
    <w:tmpl w:val="2C10D8C4"/>
    <w:lvl w:ilvl="0" w:tplc="CD281F60">
      <w:start w:val="847"/>
      <w:numFmt w:val="bullet"/>
      <w:lvlText w:val=""/>
      <w:lvlPicBulletId w:val="0"/>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1A3084B"/>
    <w:multiLevelType w:val="hybridMultilevel"/>
    <w:tmpl w:val="E6804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1CC0FF2"/>
    <w:multiLevelType w:val="hybridMultilevel"/>
    <w:tmpl w:val="C354EEB2"/>
    <w:lvl w:ilvl="0" w:tplc="CD281F60">
      <w:start w:val="847"/>
      <w:numFmt w:val="bullet"/>
      <w:lvlText w:val=""/>
      <w:lvlPicBulletId w:val="0"/>
      <w:lvlJc w:val="left"/>
      <w:pPr>
        <w:ind w:left="1770" w:hanging="360"/>
      </w:pPr>
      <w:rPr>
        <w:rFonts w:ascii="Symbol" w:hAnsi="Symbol" w:hint="default"/>
        <w:sz w:val="24"/>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14" w15:restartNumberingAfterBreak="0">
    <w:nsid w:val="62B342C6"/>
    <w:multiLevelType w:val="hybridMultilevel"/>
    <w:tmpl w:val="EE641AF8"/>
    <w:lvl w:ilvl="0" w:tplc="CD281F60">
      <w:start w:val="847"/>
      <w:numFmt w:val="bullet"/>
      <w:lvlText w:val=""/>
      <w:lvlPicBulletId w:val="0"/>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5" w15:restartNumberingAfterBreak="0">
    <w:nsid w:val="6335342D"/>
    <w:multiLevelType w:val="hybridMultilevel"/>
    <w:tmpl w:val="B2DC1556"/>
    <w:lvl w:ilvl="0" w:tplc="0662339E">
      <w:start w:val="1"/>
      <w:numFmt w:val="decimal"/>
      <w:lvlText w:val="%1."/>
      <w:lvlJc w:val="left"/>
      <w:pPr>
        <w:tabs>
          <w:tab w:val="num" w:pos="720"/>
        </w:tabs>
        <w:ind w:left="720" w:hanging="360"/>
      </w:pPr>
    </w:lvl>
    <w:lvl w:ilvl="1" w:tplc="B9B4B260">
      <w:start w:val="3407"/>
      <w:numFmt w:val="bullet"/>
      <w:lvlText w:val=""/>
      <w:lvlJc w:val="left"/>
      <w:pPr>
        <w:tabs>
          <w:tab w:val="num" w:pos="1440"/>
        </w:tabs>
        <w:ind w:left="1440" w:hanging="360"/>
      </w:pPr>
      <w:rPr>
        <w:rFonts w:ascii="Wingdings" w:hAnsi="Wingdings" w:hint="default"/>
      </w:rPr>
    </w:lvl>
    <w:lvl w:ilvl="2" w:tplc="81202CC8" w:tentative="1">
      <w:start w:val="1"/>
      <w:numFmt w:val="decimal"/>
      <w:lvlText w:val="%3."/>
      <w:lvlJc w:val="left"/>
      <w:pPr>
        <w:tabs>
          <w:tab w:val="num" w:pos="2160"/>
        </w:tabs>
        <w:ind w:left="2160" w:hanging="360"/>
      </w:pPr>
    </w:lvl>
    <w:lvl w:ilvl="3" w:tplc="4C7455A8" w:tentative="1">
      <w:start w:val="1"/>
      <w:numFmt w:val="decimal"/>
      <w:lvlText w:val="%4."/>
      <w:lvlJc w:val="left"/>
      <w:pPr>
        <w:tabs>
          <w:tab w:val="num" w:pos="2880"/>
        </w:tabs>
        <w:ind w:left="2880" w:hanging="360"/>
      </w:pPr>
    </w:lvl>
    <w:lvl w:ilvl="4" w:tplc="A56EF6D6" w:tentative="1">
      <w:start w:val="1"/>
      <w:numFmt w:val="decimal"/>
      <w:lvlText w:val="%5."/>
      <w:lvlJc w:val="left"/>
      <w:pPr>
        <w:tabs>
          <w:tab w:val="num" w:pos="3600"/>
        </w:tabs>
        <w:ind w:left="3600" w:hanging="360"/>
      </w:pPr>
    </w:lvl>
    <w:lvl w:ilvl="5" w:tplc="1D56CE9A" w:tentative="1">
      <w:start w:val="1"/>
      <w:numFmt w:val="decimal"/>
      <w:lvlText w:val="%6."/>
      <w:lvlJc w:val="left"/>
      <w:pPr>
        <w:tabs>
          <w:tab w:val="num" w:pos="4320"/>
        </w:tabs>
        <w:ind w:left="4320" w:hanging="360"/>
      </w:pPr>
    </w:lvl>
    <w:lvl w:ilvl="6" w:tplc="9E26AEC4" w:tentative="1">
      <w:start w:val="1"/>
      <w:numFmt w:val="decimal"/>
      <w:lvlText w:val="%7."/>
      <w:lvlJc w:val="left"/>
      <w:pPr>
        <w:tabs>
          <w:tab w:val="num" w:pos="5040"/>
        </w:tabs>
        <w:ind w:left="5040" w:hanging="360"/>
      </w:pPr>
    </w:lvl>
    <w:lvl w:ilvl="7" w:tplc="19705DD6" w:tentative="1">
      <w:start w:val="1"/>
      <w:numFmt w:val="decimal"/>
      <w:lvlText w:val="%8."/>
      <w:lvlJc w:val="left"/>
      <w:pPr>
        <w:tabs>
          <w:tab w:val="num" w:pos="5760"/>
        </w:tabs>
        <w:ind w:left="5760" w:hanging="360"/>
      </w:pPr>
    </w:lvl>
    <w:lvl w:ilvl="8" w:tplc="55588760" w:tentative="1">
      <w:start w:val="1"/>
      <w:numFmt w:val="decimal"/>
      <w:lvlText w:val="%9."/>
      <w:lvlJc w:val="left"/>
      <w:pPr>
        <w:tabs>
          <w:tab w:val="num" w:pos="6480"/>
        </w:tabs>
        <w:ind w:left="6480" w:hanging="360"/>
      </w:pPr>
    </w:lvl>
  </w:abstractNum>
  <w:abstractNum w:abstractNumId="116" w15:restartNumberingAfterBreak="0">
    <w:nsid w:val="63D534DF"/>
    <w:multiLevelType w:val="hybridMultilevel"/>
    <w:tmpl w:val="2B9699EA"/>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400237D"/>
    <w:multiLevelType w:val="hybridMultilevel"/>
    <w:tmpl w:val="3192F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4B71DE5"/>
    <w:multiLevelType w:val="hybridMultilevel"/>
    <w:tmpl w:val="4BBAB6E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4FD79E7"/>
    <w:multiLevelType w:val="hybridMultilevel"/>
    <w:tmpl w:val="E79CDA2C"/>
    <w:lvl w:ilvl="0" w:tplc="CD281F60">
      <w:start w:val="847"/>
      <w:numFmt w:val="bullet"/>
      <w:lvlText w:val=""/>
      <w:lvlPicBulletId w:val="0"/>
      <w:lvlJc w:val="left"/>
      <w:pPr>
        <w:ind w:left="1770" w:hanging="360"/>
      </w:pPr>
      <w:rPr>
        <w:rFonts w:ascii="Symbol" w:hAnsi="Symbol"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20" w15:restartNumberingAfterBreak="0">
    <w:nsid w:val="65372BB1"/>
    <w:multiLevelType w:val="hybridMultilevel"/>
    <w:tmpl w:val="A95495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66C06D2"/>
    <w:multiLevelType w:val="hybridMultilevel"/>
    <w:tmpl w:val="9EF6CB8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863703F"/>
    <w:multiLevelType w:val="hybridMultilevel"/>
    <w:tmpl w:val="C986D086"/>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99D734B"/>
    <w:multiLevelType w:val="hybridMultilevel"/>
    <w:tmpl w:val="C1F205CA"/>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9E828C6"/>
    <w:multiLevelType w:val="multilevel"/>
    <w:tmpl w:val="6F849BB8"/>
    <w:lvl w:ilvl="0">
      <w:start w:val="2"/>
      <w:numFmt w:val="decimal"/>
      <w:pStyle w:val="Styl1"/>
      <w:lvlText w:val="%1."/>
      <w:lvlJc w:val="left"/>
      <w:pPr>
        <w:ind w:left="765" w:hanging="405"/>
      </w:pPr>
    </w:lvl>
    <w:lvl w:ilvl="1">
      <w:start w:val="2"/>
      <w:numFmt w:val="decimal"/>
      <w:isLgl/>
      <w:lvlText w:val="%1.%2"/>
      <w:lvlJc w:val="left"/>
      <w:pPr>
        <w:ind w:left="861" w:hanging="435"/>
      </w:pPr>
      <w:rPr>
        <w:color w:val="1F497D"/>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25" w15:restartNumberingAfterBreak="0">
    <w:nsid w:val="6C024B3E"/>
    <w:multiLevelType w:val="hybridMultilevel"/>
    <w:tmpl w:val="811CA50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C1D764B"/>
    <w:multiLevelType w:val="hybridMultilevel"/>
    <w:tmpl w:val="E7B6C564"/>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FEB4C86"/>
    <w:multiLevelType w:val="hybridMultilevel"/>
    <w:tmpl w:val="73FE3528"/>
    <w:lvl w:ilvl="0" w:tplc="04050017">
      <w:start w:val="1"/>
      <w:numFmt w:val="lowerLetter"/>
      <w:lvlText w:val="%1)"/>
      <w:lvlJc w:val="left"/>
      <w:pPr>
        <w:ind w:left="786"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7012305A"/>
    <w:multiLevelType w:val="hybridMultilevel"/>
    <w:tmpl w:val="A0EABB4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709C6EAC"/>
    <w:multiLevelType w:val="hybridMultilevel"/>
    <w:tmpl w:val="CF58151A"/>
    <w:lvl w:ilvl="0" w:tplc="FFFFFFFF">
      <w:start w:val="1"/>
      <w:numFmt w:val="bullet"/>
      <w:pStyle w:val="QualitySubtitles"/>
      <w:lvlText w:val=""/>
      <w:lvlJc w:val="left"/>
      <w:pPr>
        <w:tabs>
          <w:tab w:val="num" w:pos="397"/>
        </w:tabs>
        <w:ind w:left="397" w:hanging="397"/>
      </w:pPr>
      <w:rPr>
        <w:rFonts w:ascii="Wingdings 2" w:hAnsi="Wingdings 2" w:hint="default"/>
        <w:color w:val="auto"/>
        <w:sz w:val="14"/>
        <w:szCs w:val="14"/>
      </w:rPr>
    </w:lvl>
    <w:lvl w:ilvl="1" w:tplc="FFFFFFFF">
      <w:start w:val="1"/>
      <w:numFmt w:val="bullet"/>
      <w:pStyle w:val="QualitySubtitles"/>
      <w:lvlText w:val=""/>
      <w:lvlJc w:val="left"/>
      <w:pPr>
        <w:tabs>
          <w:tab w:val="num" w:pos="1749"/>
        </w:tabs>
        <w:ind w:left="1440" w:hanging="360"/>
      </w:pPr>
      <w:rPr>
        <w:rFonts w:ascii="Wingdings 2" w:hAnsi="Wingdings 2" w:hint="default"/>
        <w:color w:val="auto"/>
        <w:sz w:val="14"/>
        <w:szCs w:val="1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2587B2B"/>
    <w:multiLevelType w:val="hybridMultilevel"/>
    <w:tmpl w:val="713ED136"/>
    <w:lvl w:ilvl="0" w:tplc="E58CC75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75911419"/>
    <w:multiLevelType w:val="hybridMultilevel"/>
    <w:tmpl w:val="49A830F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596540A"/>
    <w:multiLevelType w:val="hybridMultilevel"/>
    <w:tmpl w:val="7DC0CA2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760C05D6"/>
    <w:multiLevelType w:val="hybridMultilevel"/>
    <w:tmpl w:val="47C248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80538B4"/>
    <w:multiLevelType w:val="hybridMultilevel"/>
    <w:tmpl w:val="0F20B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86932F5"/>
    <w:multiLevelType w:val="hybridMultilevel"/>
    <w:tmpl w:val="516C29A2"/>
    <w:lvl w:ilvl="0" w:tplc="BE7ABD9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7896699D"/>
    <w:multiLevelType w:val="hybridMultilevel"/>
    <w:tmpl w:val="EBAE3A58"/>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8C26EE4"/>
    <w:multiLevelType w:val="hybridMultilevel"/>
    <w:tmpl w:val="D1926CB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15:restartNumberingAfterBreak="0">
    <w:nsid w:val="7A043B8A"/>
    <w:multiLevelType w:val="hybridMultilevel"/>
    <w:tmpl w:val="AAD42D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7A4217B0"/>
    <w:multiLevelType w:val="hybridMultilevel"/>
    <w:tmpl w:val="F0EC11D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0" w15:restartNumberingAfterBreak="0">
    <w:nsid w:val="7AB71050"/>
    <w:multiLevelType w:val="hybridMultilevel"/>
    <w:tmpl w:val="980C80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7B442804"/>
    <w:multiLevelType w:val="hybridMultilevel"/>
    <w:tmpl w:val="06AC2CEC"/>
    <w:lvl w:ilvl="0" w:tplc="5AB419E0">
      <w:start w:val="2"/>
      <w:numFmt w:val="bullet"/>
      <w:lvlText w:val="-"/>
      <w:lvlJc w:val="left"/>
      <w:pPr>
        <w:ind w:left="1770" w:hanging="360"/>
      </w:pPr>
      <w:rPr>
        <w:rFonts w:ascii="Calibri" w:eastAsiaTheme="minorHAnsi" w:hAnsi="Calibri" w:cstheme="minorBidi"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42" w15:restartNumberingAfterBreak="0">
    <w:nsid w:val="7B9D76ED"/>
    <w:multiLevelType w:val="hybridMultilevel"/>
    <w:tmpl w:val="5E3A487E"/>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BDE4895"/>
    <w:multiLevelType w:val="hybridMultilevel"/>
    <w:tmpl w:val="7B6A374A"/>
    <w:lvl w:ilvl="0" w:tplc="CD281F60">
      <w:start w:val="847"/>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7E236A94"/>
    <w:multiLevelType w:val="hybridMultilevel"/>
    <w:tmpl w:val="00ECD220"/>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E3508C4"/>
    <w:multiLevelType w:val="hybridMultilevel"/>
    <w:tmpl w:val="099E5706"/>
    <w:lvl w:ilvl="0" w:tplc="CD281F60">
      <w:start w:val="847"/>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F8B400F"/>
    <w:multiLevelType w:val="hybridMultilevel"/>
    <w:tmpl w:val="16925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AF676D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1"/>
  </w:num>
  <w:num w:numId="2">
    <w:abstractNumId w:val="9"/>
  </w:num>
  <w:num w:numId="3">
    <w:abstractNumId w:val="51"/>
  </w:num>
  <w:num w:numId="4">
    <w:abstractNumId w:val="120"/>
  </w:num>
  <w:num w:numId="5">
    <w:abstractNumId w:val="85"/>
  </w:num>
  <w:num w:numId="6">
    <w:abstractNumId w:val="52"/>
  </w:num>
  <w:num w:numId="7">
    <w:abstractNumId w:val="92"/>
  </w:num>
  <w:num w:numId="8">
    <w:abstractNumId w:val="94"/>
  </w:num>
  <w:num w:numId="9">
    <w:abstractNumId w:val="20"/>
  </w:num>
  <w:num w:numId="10">
    <w:abstractNumId w:val="124"/>
  </w:num>
  <w:num w:numId="11">
    <w:abstractNumId w:val="36"/>
  </w:num>
  <w:num w:numId="12">
    <w:abstractNumId w:val="129"/>
  </w:num>
  <w:num w:numId="13">
    <w:abstractNumId w:val="64"/>
  </w:num>
  <w:num w:numId="14">
    <w:abstractNumId w:val="77"/>
  </w:num>
  <w:num w:numId="15">
    <w:abstractNumId w:val="63"/>
  </w:num>
  <w:num w:numId="16">
    <w:abstractNumId w:val="107"/>
  </w:num>
  <w:num w:numId="17">
    <w:abstractNumId w:val="6"/>
  </w:num>
  <w:num w:numId="18">
    <w:abstractNumId w:val="99"/>
  </w:num>
  <w:num w:numId="19">
    <w:abstractNumId w:val="115"/>
  </w:num>
  <w:num w:numId="20">
    <w:abstractNumId w:val="90"/>
  </w:num>
  <w:num w:numId="21">
    <w:abstractNumId w:val="89"/>
  </w:num>
  <w:num w:numId="22">
    <w:abstractNumId w:val="10"/>
  </w:num>
  <w:num w:numId="23">
    <w:abstractNumId w:val="26"/>
  </w:num>
  <w:num w:numId="24">
    <w:abstractNumId w:val="30"/>
  </w:num>
  <w:num w:numId="25">
    <w:abstractNumId w:val="74"/>
  </w:num>
  <w:num w:numId="26">
    <w:abstractNumId w:val="42"/>
  </w:num>
  <w:num w:numId="27">
    <w:abstractNumId w:val="103"/>
  </w:num>
  <w:num w:numId="28">
    <w:abstractNumId w:val="1"/>
  </w:num>
  <w:num w:numId="29">
    <w:abstractNumId w:val="15"/>
  </w:num>
  <w:num w:numId="30">
    <w:abstractNumId w:val="81"/>
  </w:num>
  <w:num w:numId="31">
    <w:abstractNumId w:val="125"/>
  </w:num>
  <w:num w:numId="32">
    <w:abstractNumId w:val="122"/>
  </w:num>
  <w:num w:numId="33">
    <w:abstractNumId w:val="73"/>
  </w:num>
  <w:num w:numId="34">
    <w:abstractNumId w:val="13"/>
  </w:num>
  <w:num w:numId="35">
    <w:abstractNumId w:val="119"/>
  </w:num>
  <w:num w:numId="36">
    <w:abstractNumId w:val="95"/>
  </w:num>
  <w:num w:numId="37">
    <w:abstractNumId w:val="142"/>
  </w:num>
  <w:num w:numId="38">
    <w:abstractNumId w:val="145"/>
  </w:num>
  <w:num w:numId="39">
    <w:abstractNumId w:val="87"/>
  </w:num>
  <w:num w:numId="40">
    <w:abstractNumId w:val="58"/>
  </w:num>
  <w:num w:numId="41">
    <w:abstractNumId w:val="59"/>
  </w:num>
  <w:num w:numId="42">
    <w:abstractNumId w:val="104"/>
  </w:num>
  <w:num w:numId="43">
    <w:abstractNumId w:val="38"/>
  </w:num>
  <w:num w:numId="44">
    <w:abstractNumId w:val="7"/>
  </w:num>
  <w:num w:numId="45">
    <w:abstractNumId w:val="33"/>
  </w:num>
  <w:num w:numId="46">
    <w:abstractNumId w:val="83"/>
  </w:num>
  <w:num w:numId="47">
    <w:abstractNumId w:val="123"/>
  </w:num>
  <w:num w:numId="48">
    <w:abstractNumId w:val="53"/>
  </w:num>
  <w:num w:numId="49">
    <w:abstractNumId w:val="143"/>
  </w:num>
  <w:num w:numId="50">
    <w:abstractNumId w:val="31"/>
  </w:num>
  <w:num w:numId="51">
    <w:abstractNumId w:val="3"/>
  </w:num>
  <w:num w:numId="52">
    <w:abstractNumId w:val="121"/>
  </w:num>
  <w:num w:numId="53">
    <w:abstractNumId w:val="109"/>
  </w:num>
  <w:num w:numId="54">
    <w:abstractNumId w:val="78"/>
  </w:num>
  <w:num w:numId="55">
    <w:abstractNumId w:val="84"/>
  </w:num>
  <w:num w:numId="56">
    <w:abstractNumId w:val="48"/>
  </w:num>
  <w:num w:numId="57">
    <w:abstractNumId w:val="32"/>
  </w:num>
  <w:num w:numId="58">
    <w:abstractNumId w:val="19"/>
  </w:num>
  <w:num w:numId="59">
    <w:abstractNumId w:val="5"/>
  </w:num>
  <w:num w:numId="60">
    <w:abstractNumId w:val="8"/>
  </w:num>
  <w:num w:numId="61">
    <w:abstractNumId w:val="80"/>
  </w:num>
  <w:num w:numId="62">
    <w:abstractNumId w:val="46"/>
  </w:num>
  <w:num w:numId="63">
    <w:abstractNumId w:val="131"/>
  </w:num>
  <w:num w:numId="64">
    <w:abstractNumId w:val="14"/>
  </w:num>
  <w:num w:numId="65">
    <w:abstractNumId w:val="24"/>
  </w:num>
  <w:num w:numId="66">
    <w:abstractNumId w:val="54"/>
  </w:num>
  <w:num w:numId="67">
    <w:abstractNumId w:val="70"/>
  </w:num>
  <w:num w:numId="68">
    <w:abstractNumId w:val="126"/>
  </w:num>
  <w:num w:numId="69">
    <w:abstractNumId w:val="136"/>
  </w:num>
  <w:num w:numId="70">
    <w:abstractNumId w:val="139"/>
  </w:num>
  <w:num w:numId="71">
    <w:abstractNumId w:val="41"/>
  </w:num>
  <w:num w:numId="72">
    <w:abstractNumId w:val="114"/>
  </w:num>
  <w:num w:numId="73">
    <w:abstractNumId w:val="21"/>
  </w:num>
  <w:num w:numId="74">
    <w:abstractNumId w:val="60"/>
  </w:num>
  <w:num w:numId="75">
    <w:abstractNumId w:val="57"/>
  </w:num>
  <w:num w:numId="76">
    <w:abstractNumId w:val="118"/>
  </w:num>
  <w:num w:numId="77">
    <w:abstractNumId w:val="135"/>
  </w:num>
  <w:num w:numId="78">
    <w:abstractNumId w:val="137"/>
  </w:num>
  <w:num w:numId="79">
    <w:abstractNumId w:val="132"/>
  </w:num>
  <w:num w:numId="80">
    <w:abstractNumId w:val="128"/>
  </w:num>
  <w:num w:numId="81">
    <w:abstractNumId w:val="45"/>
  </w:num>
  <w:num w:numId="82">
    <w:abstractNumId w:val="49"/>
  </w:num>
  <w:num w:numId="83">
    <w:abstractNumId w:val="29"/>
  </w:num>
  <w:num w:numId="84">
    <w:abstractNumId w:val="27"/>
  </w:num>
  <w:num w:numId="85">
    <w:abstractNumId w:val="82"/>
  </w:num>
  <w:num w:numId="86">
    <w:abstractNumId w:val="44"/>
  </w:num>
  <w:num w:numId="87">
    <w:abstractNumId w:val="28"/>
  </w:num>
  <w:num w:numId="88">
    <w:abstractNumId w:val="17"/>
  </w:num>
  <w:num w:numId="89">
    <w:abstractNumId w:val="138"/>
  </w:num>
  <w:num w:numId="90">
    <w:abstractNumId w:val="0"/>
  </w:num>
  <w:num w:numId="91">
    <w:abstractNumId w:val="62"/>
  </w:num>
  <w:num w:numId="92">
    <w:abstractNumId w:val="127"/>
  </w:num>
  <w:num w:numId="93">
    <w:abstractNumId w:val="134"/>
  </w:num>
  <w:num w:numId="94">
    <w:abstractNumId w:val="112"/>
  </w:num>
  <w:num w:numId="95">
    <w:abstractNumId w:val="140"/>
  </w:num>
  <w:num w:numId="9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num>
  <w:num w:numId="98">
    <w:abstractNumId w:val="102"/>
  </w:num>
  <w:num w:numId="99">
    <w:abstractNumId w:val="11"/>
  </w:num>
  <w:num w:numId="100">
    <w:abstractNumId w:val="40"/>
  </w:num>
  <w:num w:numId="101">
    <w:abstractNumId w:val="98"/>
  </w:num>
  <w:num w:numId="102">
    <w:abstractNumId w:val="86"/>
  </w:num>
  <w:num w:numId="103">
    <w:abstractNumId w:val="111"/>
  </w:num>
  <w:num w:numId="104">
    <w:abstractNumId w:val="4"/>
  </w:num>
  <w:num w:numId="105">
    <w:abstractNumId w:val="50"/>
  </w:num>
  <w:num w:numId="106">
    <w:abstractNumId w:val="47"/>
  </w:num>
  <w:num w:numId="107">
    <w:abstractNumId w:val="18"/>
  </w:num>
  <w:num w:numId="108">
    <w:abstractNumId w:val="12"/>
  </w:num>
  <w:num w:numId="109">
    <w:abstractNumId w:val="100"/>
  </w:num>
  <w:num w:numId="110">
    <w:abstractNumId w:val="108"/>
  </w:num>
  <w:num w:numId="111">
    <w:abstractNumId w:val="66"/>
  </w:num>
  <w:num w:numId="112">
    <w:abstractNumId w:val="130"/>
  </w:num>
  <w:num w:numId="113">
    <w:abstractNumId w:val="71"/>
  </w:num>
  <w:num w:numId="114">
    <w:abstractNumId w:val="67"/>
  </w:num>
  <w:num w:numId="115">
    <w:abstractNumId w:val="37"/>
  </w:num>
  <w:num w:numId="116">
    <w:abstractNumId w:val="133"/>
  </w:num>
  <w:num w:numId="117">
    <w:abstractNumId w:val="96"/>
  </w:num>
  <w:num w:numId="118">
    <w:abstractNumId w:val="146"/>
  </w:num>
  <w:num w:numId="119">
    <w:abstractNumId w:val="16"/>
  </w:num>
  <w:num w:numId="120">
    <w:abstractNumId w:val="79"/>
  </w:num>
  <w:num w:numId="121">
    <w:abstractNumId w:val="117"/>
  </w:num>
  <w:num w:numId="122">
    <w:abstractNumId w:val="144"/>
  </w:num>
  <w:num w:numId="123">
    <w:abstractNumId w:val="106"/>
  </w:num>
  <w:num w:numId="124">
    <w:abstractNumId w:val="97"/>
  </w:num>
  <w:num w:numId="125">
    <w:abstractNumId w:val="75"/>
  </w:num>
  <w:num w:numId="126">
    <w:abstractNumId w:val="22"/>
  </w:num>
  <w:num w:numId="127">
    <w:abstractNumId w:val="93"/>
  </w:num>
  <w:num w:numId="128">
    <w:abstractNumId w:val="43"/>
  </w:num>
  <w:num w:numId="129">
    <w:abstractNumId w:val="88"/>
  </w:num>
  <w:num w:numId="130">
    <w:abstractNumId w:val="56"/>
  </w:num>
  <w:num w:numId="131">
    <w:abstractNumId w:val="72"/>
  </w:num>
  <w:num w:numId="132">
    <w:abstractNumId w:val="91"/>
  </w:num>
  <w:num w:numId="133">
    <w:abstractNumId w:val="116"/>
  </w:num>
  <w:num w:numId="134">
    <w:abstractNumId w:val="76"/>
  </w:num>
  <w:num w:numId="135">
    <w:abstractNumId w:val="55"/>
  </w:num>
  <w:num w:numId="136">
    <w:abstractNumId w:val="110"/>
  </w:num>
  <w:num w:numId="137">
    <w:abstractNumId w:val="23"/>
  </w:num>
  <w:num w:numId="138">
    <w:abstractNumId w:val="2"/>
  </w:num>
  <w:num w:numId="139">
    <w:abstractNumId w:val="101"/>
  </w:num>
  <w:num w:numId="140">
    <w:abstractNumId w:val="105"/>
  </w:num>
  <w:num w:numId="141">
    <w:abstractNumId w:val="35"/>
  </w:num>
  <w:num w:numId="142">
    <w:abstractNumId w:val="68"/>
  </w:num>
  <w:num w:numId="143">
    <w:abstractNumId w:val="34"/>
  </w:num>
  <w:num w:numId="144">
    <w:abstractNumId w:val="61"/>
  </w:num>
  <w:num w:numId="145">
    <w:abstractNumId w:val="39"/>
  </w:num>
  <w:num w:numId="146">
    <w:abstractNumId w:val="69"/>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91"/>
    <w:rsid w:val="00005184"/>
    <w:rsid w:val="000064B2"/>
    <w:rsid w:val="0001222C"/>
    <w:rsid w:val="00013DB0"/>
    <w:rsid w:val="00015370"/>
    <w:rsid w:val="000178E5"/>
    <w:rsid w:val="00023B6E"/>
    <w:rsid w:val="0002418C"/>
    <w:rsid w:val="00024291"/>
    <w:rsid w:val="0002455E"/>
    <w:rsid w:val="00024C4C"/>
    <w:rsid w:val="000254E5"/>
    <w:rsid w:val="000260A0"/>
    <w:rsid w:val="0002614F"/>
    <w:rsid w:val="00026EB8"/>
    <w:rsid w:val="0003229A"/>
    <w:rsid w:val="00033787"/>
    <w:rsid w:val="00033A87"/>
    <w:rsid w:val="00033C45"/>
    <w:rsid w:val="00033F1B"/>
    <w:rsid w:val="00034AD6"/>
    <w:rsid w:val="0003525B"/>
    <w:rsid w:val="00035DA1"/>
    <w:rsid w:val="000368A1"/>
    <w:rsid w:val="000369EA"/>
    <w:rsid w:val="00045C30"/>
    <w:rsid w:val="00045D5A"/>
    <w:rsid w:val="0004790B"/>
    <w:rsid w:val="000500D4"/>
    <w:rsid w:val="00050251"/>
    <w:rsid w:val="0005025A"/>
    <w:rsid w:val="0005102C"/>
    <w:rsid w:val="000530FE"/>
    <w:rsid w:val="00056FAE"/>
    <w:rsid w:val="000570C1"/>
    <w:rsid w:val="000578AD"/>
    <w:rsid w:val="00057ADC"/>
    <w:rsid w:val="000609DE"/>
    <w:rsid w:val="000632D7"/>
    <w:rsid w:val="00063D6E"/>
    <w:rsid w:val="00064A74"/>
    <w:rsid w:val="000657E9"/>
    <w:rsid w:val="0007006B"/>
    <w:rsid w:val="00071813"/>
    <w:rsid w:val="00072002"/>
    <w:rsid w:val="00073A29"/>
    <w:rsid w:val="00075154"/>
    <w:rsid w:val="0007729C"/>
    <w:rsid w:val="000814CF"/>
    <w:rsid w:val="000863C9"/>
    <w:rsid w:val="00091972"/>
    <w:rsid w:val="00092498"/>
    <w:rsid w:val="000961F7"/>
    <w:rsid w:val="000A3C88"/>
    <w:rsid w:val="000B0AFF"/>
    <w:rsid w:val="000B2CCA"/>
    <w:rsid w:val="000B2F41"/>
    <w:rsid w:val="000B3250"/>
    <w:rsid w:val="000B6FB3"/>
    <w:rsid w:val="000B7721"/>
    <w:rsid w:val="000C0CBD"/>
    <w:rsid w:val="000C0DF5"/>
    <w:rsid w:val="000C2BE4"/>
    <w:rsid w:val="000C38BE"/>
    <w:rsid w:val="000C3D7B"/>
    <w:rsid w:val="000D4904"/>
    <w:rsid w:val="000D52D2"/>
    <w:rsid w:val="000D5E1A"/>
    <w:rsid w:val="000D6721"/>
    <w:rsid w:val="000D7737"/>
    <w:rsid w:val="000E0919"/>
    <w:rsid w:val="000E3C3C"/>
    <w:rsid w:val="000E42B0"/>
    <w:rsid w:val="000F74DC"/>
    <w:rsid w:val="000F78DD"/>
    <w:rsid w:val="0010278D"/>
    <w:rsid w:val="001027D8"/>
    <w:rsid w:val="00103DE1"/>
    <w:rsid w:val="00103F1C"/>
    <w:rsid w:val="00104DDB"/>
    <w:rsid w:val="00111929"/>
    <w:rsid w:val="00111C7C"/>
    <w:rsid w:val="001142B8"/>
    <w:rsid w:val="00115B77"/>
    <w:rsid w:val="00116187"/>
    <w:rsid w:val="00116A08"/>
    <w:rsid w:val="001178DD"/>
    <w:rsid w:val="00121458"/>
    <w:rsid w:val="00121B09"/>
    <w:rsid w:val="00123B2D"/>
    <w:rsid w:val="001263E9"/>
    <w:rsid w:val="001264E8"/>
    <w:rsid w:val="00131838"/>
    <w:rsid w:val="00132969"/>
    <w:rsid w:val="001340AB"/>
    <w:rsid w:val="00137D42"/>
    <w:rsid w:val="00140D7C"/>
    <w:rsid w:val="00141DDA"/>
    <w:rsid w:val="00143FA8"/>
    <w:rsid w:val="001442D0"/>
    <w:rsid w:val="00145582"/>
    <w:rsid w:val="00150504"/>
    <w:rsid w:val="00156615"/>
    <w:rsid w:val="00156E07"/>
    <w:rsid w:val="00161671"/>
    <w:rsid w:val="001629C9"/>
    <w:rsid w:val="001632E2"/>
    <w:rsid w:val="0016517D"/>
    <w:rsid w:val="001707FC"/>
    <w:rsid w:val="00175CAB"/>
    <w:rsid w:val="00182796"/>
    <w:rsid w:val="00187CF5"/>
    <w:rsid w:val="00192264"/>
    <w:rsid w:val="00193A09"/>
    <w:rsid w:val="001941F1"/>
    <w:rsid w:val="001945D7"/>
    <w:rsid w:val="001951CD"/>
    <w:rsid w:val="001A0483"/>
    <w:rsid w:val="001A24D1"/>
    <w:rsid w:val="001A5584"/>
    <w:rsid w:val="001A7565"/>
    <w:rsid w:val="001B0E69"/>
    <w:rsid w:val="001B2169"/>
    <w:rsid w:val="001B23DE"/>
    <w:rsid w:val="001B2A3F"/>
    <w:rsid w:val="001B3793"/>
    <w:rsid w:val="001B37B2"/>
    <w:rsid w:val="001B5030"/>
    <w:rsid w:val="001B6B15"/>
    <w:rsid w:val="001C171B"/>
    <w:rsid w:val="001C2163"/>
    <w:rsid w:val="001C4914"/>
    <w:rsid w:val="001C53DF"/>
    <w:rsid w:val="001D125D"/>
    <w:rsid w:val="001D2C3F"/>
    <w:rsid w:val="001D4370"/>
    <w:rsid w:val="001D477E"/>
    <w:rsid w:val="001D5389"/>
    <w:rsid w:val="001D7AA5"/>
    <w:rsid w:val="001E07BD"/>
    <w:rsid w:val="001E07C2"/>
    <w:rsid w:val="001E0EFA"/>
    <w:rsid w:val="001E306B"/>
    <w:rsid w:val="001E6310"/>
    <w:rsid w:val="001F141A"/>
    <w:rsid w:val="001F179D"/>
    <w:rsid w:val="001F3028"/>
    <w:rsid w:val="001F3B0F"/>
    <w:rsid w:val="001F4662"/>
    <w:rsid w:val="001F4DB3"/>
    <w:rsid w:val="001F628C"/>
    <w:rsid w:val="001F657C"/>
    <w:rsid w:val="001F7B0E"/>
    <w:rsid w:val="00207325"/>
    <w:rsid w:val="002079E8"/>
    <w:rsid w:val="00210D08"/>
    <w:rsid w:val="002127DD"/>
    <w:rsid w:val="0021335C"/>
    <w:rsid w:val="00213C51"/>
    <w:rsid w:val="00215B5A"/>
    <w:rsid w:val="002172FD"/>
    <w:rsid w:val="0022332F"/>
    <w:rsid w:val="00223F35"/>
    <w:rsid w:val="00224BD2"/>
    <w:rsid w:val="00225279"/>
    <w:rsid w:val="00225A6A"/>
    <w:rsid w:val="002262F2"/>
    <w:rsid w:val="002265A2"/>
    <w:rsid w:val="0022666C"/>
    <w:rsid w:val="00227C7E"/>
    <w:rsid w:val="00227F06"/>
    <w:rsid w:val="0023231E"/>
    <w:rsid w:val="00232375"/>
    <w:rsid w:val="00233218"/>
    <w:rsid w:val="0023381C"/>
    <w:rsid w:val="002376B8"/>
    <w:rsid w:val="00242D48"/>
    <w:rsid w:val="00244E1B"/>
    <w:rsid w:val="00251FAB"/>
    <w:rsid w:val="00252623"/>
    <w:rsid w:val="0025378B"/>
    <w:rsid w:val="00253CB9"/>
    <w:rsid w:val="00253CC9"/>
    <w:rsid w:val="0025484A"/>
    <w:rsid w:val="00257182"/>
    <w:rsid w:val="00262A91"/>
    <w:rsid w:val="00267E16"/>
    <w:rsid w:val="00274679"/>
    <w:rsid w:val="0027697C"/>
    <w:rsid w:val="002771A7"/>
    <w:rsid w:val="00277361"/>
    <w:rsid w:val="00282D6D"/>
    <w:rsid w:val="0028617E"/>
    <w:rsid w:val="00286F78"/>
    <w:rsid w:val="00286F7C"/>
    <w:rsid w:val="00290A98"/>
    <w:rsid w:val="00290CC2"/>
    <w:rsid w:val="00290FF4"/>
    <w:rsid w:val="002918F0"/>
    <w:rsid w:val="00292529"/>
    <w:rsid w:val="00292D62"/>
    <w:rsid w:val="002A386F"/>
    <w:rsid w:val="002A4906"/>
    <w:rsid w:val="002A7B1C"/>
    <w:rsid w:val="002B255C"/>
    <w:rsid w:val="002B2C89"/>
    <w:rsid w:val="002B622F"/>
    <w:rsid w:val="002B6E1A"/>
    <w:rsid w:val="002C1437"/>
    <w:rsid w:val="002C220D"/>
    <w:rsid w:val="002C2EB8"/>
    <w:rsid w:val="002C3548"/>
    <w:rsid w:val="002C7B81"/>
    <w:rsid w:val="002D6A62"/>
    <w:rsid w:val="002E06EB"/>
    <w:rsid w:val="002E0D1A"/>
    <w:rsid w:val="002E3DD6"/>
    <w:rsid w:val="002E4413"/>
    <w:rsid w:val="002E4520"/>
    <w:rsid w:val="002E49BF"/>
    <w:rsid w:val="002E58BB"/>
    <w:rsid w:val="002F1109"/>
    <w:rsid w:val="002F12EB"/>
    <w:rsid w:val="002F299A"/>
    <w:rsid w:val="002F7201"/>
    <w:rsid w:val="002F7CE0"/>
    <w:rsid w:val="00301378"/>
    <w:rsid w:val="0030446C"/>
    <w:rsid w:val="00306DC3"/>
    <w:rsid w:val="00311DA7"/>
    <w:rsid w:val="00327455"/>
    <w:rsid w:val="0032745B"/>
    <w:rsid w:val="003301CD"/>
    <w:rsid w:val="00330EEB"/>
    <w:rsid w:val="0033167C"/>
    <w:rsid w:val="00332EBB"/>
    <w:rsid w:val="00333318"/>
    <w:rsid w:val="003341B6"/>
    <w:rsid w:val="0033707F"/>
    <w:rsid w:val="003409D4"/>
    <w:rsid w:val="00341E9D"/>
    <w:rsid w:val="00342BD2"/>
    <w:rsid w:val="00343FC2"/>
    <w:rsid w:val="003466DD"/>
    <w:rsid w:val="00346E98"/>
    <w:rsid w:val="00347439"/>
    <w:rsid w:val="00353DE2"/>
    <w:rsid w:val="003555AA"/>
    <w:rsid w:val="00360892"/>
    <w:rsid w:val="00360BC7"/>
    <w:rsid w:val="003628DA"/>
    <w:rsid w:val="003638BF"/>
    <w:rsid w:val="003639A0"/>
    <w:rsid w:val="003645F7"/>
    <w:rsid w:val="003651A8"/>
    <w:rsid w:val="00366DD6"/>
    <w:rsid w:val="00366EDF"/>
    <w:rsid w:val="003673E9"/>
    <w:rsid w:val="00372826"/>
    <w:rsid w:val="00372DF3"/>
    <w:rsid w:val="0037609C"/>
    <w:rsid w:val="00380429"/>
    <w:rsid w:val="00381714"/>
    <w:rsid w:val="0038181A"/>
    <w:rsid w:val="0038268E"/>
    <w:rsid w:val="003925DC"/>
    <w:rsid w:val="003949DC"/>
    <w:rsid w:val="00397174"/>
    <w:rsid w:val="003A0B6B"/>
    <w:rsid w:val="003A1870"/>
    <w:rsid w:val="003A1FE3"/>
    <w:rsid w:val="003A3ACC"/>
    <w:rsid w:val="003A3BA0"/>
    <w:rsid w:val="003A5D57"/>
    <w:rsid w:val="003B089F"/>
    <w:rsid w:val="003B17BF"/>
    <w:rsid w:val="003B5525"/>
    <w:rsid w:val="003B6DFE"/>
    <w:rsid w:val="003C0079"/>
    <w:rsid w:val="003C08E8"/>
    <w:rsid w:val="003C5C1F"/>
    <w:rsid w:val="003C6272"/>
    <w:rsid w:val="003C7873"/>
    <w:rsid w:val="003D1296"/>
    <w:rsid w:val="003D2893"/>
    <w:rsid w:val="003E00F9"/>
    <w:rsid w:val="003E2268"/>
    <w:rsid w:val="003E3A57"/>
    <w:rsid w:val="003E5D8F"/>
    <w:rsid w:val="003F0092"/>
    <w:rsid w:val="003F2E34"/>
    <w:rsid w:val="003F34F6"/>
    <w:rsid w:val="003F4FBB"/>
    <w:rsid w:val="003F5E6E"/>
    <w:rsid w:val="003F62D8"/>
    <w:rsid w:val="003F76AA"/>
    <w:rsid w:val="003F772F"/>
    <w:rsid w:val="00401080"/>
    <w:rsid w:val="00403E3C"/>
    <w:rsid w:val="0040710B"/>
    <w:rsid w:val="00407B0C"/>
    <w:rsid w:val="0041061E"/>
    <w:rsid w:val="004114DE"/>
    <w:rsid w:val="00412E9B"/>
    <w:rsid w:val="00413652"/>
    <w:rsid w:val="00420D32"/>
    <w:rsid w:val="0042190A"/>
    <w:rsid w:val="00423A35"/>
    <w:rsid w:val="00424852"/>
    <w:rsid w:val="004306E0"/>
    <w:rsid w:val="0043099A"/>
    <w:rsid w:val="00431406"/>
    <w:rsid w:val="004318A2"/>
    <w:rsid w:val="00432FE1"/>
    <w:rsid w:val="004336E3"/>
    <w:rsid w:val="0044189F"/>
    <w:rsid w:val="00451E13"/>
    <w:rsid w:val="004523FE"/>
    <w:rsid w:val="004534AF"/>
    <w:rsid w:val="00455353"/>
    <w:rsid w:val="00456D3B"/>
    <w:rsid w:val="00461130"/>
    <w:rsid w:val="00462106"/>
    <w:rsid w:val="004632B8"/>
    <w:rsid w:val="00467E27"/>
    <w:rsid w:val="00470001"/>
    <w:rsid w:val="00470319"/>
    <w:rsid w:val="0047075F"/>
    <w:rsid w:val="00471F02"/>
    <w:rsid w:val="00472723"/>
    <w:rsid w:val="004734BB"/>
    <w:rsid w:val="00474BA3"/>
    <w:rsid w:val="00474DB5"/>
    <w:rsid w:val="004752A5"/>
    <w:rsid w:val="004772A7"/>
    <w:rsid w:val="004802C9"/>
    <w:rsid w:val="00486C7C"/>
    <w:rsid w:val="0048739D"/>
    <w:rsid w:val="00490641"/>
    <w:rsid w:val="004916BA"/>
    <w:rsid w:val="00491ABA"/>
    <w:rsid w:val="004951A4"/>
    <w:rsid w:val="004A035F"/>
    <w:rsid w:val="004A0E6C"/>
    <w:rsid w:val="004A6202"/>
    <w:rsid w:val="004B0C04"/>
    <w:rsid w:val="004B10B9"/>
    <w:rsid w:val="004B3A76"/>
    <w:rsid w:val="004B710E"/>
    <w:rsid w:val="004B7F51"/>
    <w:rsid w:val="004C25B5"/>
    <w:rsid w:val="004C276C"/>
    <w:rsid w:val="004C4FC6"/>
    <w:rsid w:val="004C76FD"/>
    <w:rsid w:val="004D00ED"/>
    <w:rsid w:val="004D12EE"/>
    <w:rsid w:val="004D357F"/>
    <w:rsid w:val="004D666F"/>
    <w:rsid w:val="004E2155"/>
    <w:rsid w:val="004E2C1D"/>
    <w:rsid w:val="004E4B3F"/>
    <w:rsid w:val="004E5D51"/>
    <w:rsid w:val="004E6061"/>
    <w:rsid w:val="004E64BA"/>
    <w:rsid w:val="004E752D"/>
    <w:rsid w:val="004F18FC"/>
    <w:rsid w:val="00500012"/>
    <w:rsid w:val="005020E5"/>
    <w:rsid w:val="00502BF5"/>
    <w:rsid w:val="0050410C"/>
    <w:rsid w:val="005127CD"/>
    <w:rsid w:val="0051364F"/>
    <w:rsid w:val="00520416"/>
    <w:rsid w:val="005239A2"/>
    <w:rsid w:val="00526BD7"/>
    <w:rsid w:val="00526C0E"/>
    <w:rsid w:val="0053132F"/>
    <w:rsid w:val="00532A7E"/>
    <w:rsid w:val="00535E63"/>
    <w:rsid w:val="005363F6"/>
    <w:rsid w:val="0053653E"/>
    <w:rsid w:val="00536A44"/>
    <w:rsid w:val="00536F5F"/>
    <w:rsid w:val="00540F43"/>
    <w:rsid w:val="00543F86"/>
    <w:rsid w:val="00546542"/>
    <w:rsid w:val="0054720D"/>
    <w:rsid w:val="0055176B"/>
    <w:rsid w:val="0055254E"/>
    <w:rsid w:val="00554314"/>
    <w:rsid w:val="005562D9"/>
    <w:rsid w:val="00556904"/>
    <w:rsid w:val="0056171C"/>
    <w:rsid w:val="0056454D"/>
    <w:rsid w:val="00564CB7"/>
    <w:rsid w:val="00574DE9"/>
    <w:rsid w:val="00577EDC"/>
    <w:rsid w:val="00581244"/>
    <w:rsid w:val="00581B30"/>
    <w:rsid w:val="00582BB8"/>
    <w:rsid w:val="005831ED"/>
    <w:rsid w:val="00583A76"/>
    <w:rsid w:val="005865D5"/>
    <w:rsid w:val="00586A3A"/>
    <w:rsid w:val="005875EE"/>
    <w:rsid w:val="00591E2F"/>
    <w:rsid w:val="005959F1"/>
    <w:rsid w:val="00595D34"/>
    <w:rsid w:val="0059604B"/>
    <w:rsid w:val="005A4BF6"/>
    <w:rsid w:val="005A6000"/>
    <w:rsid w:val="005B06E3"/>
    <w:rsid w:val="005B12EA"/>
    <w:rsid w:val="005C30B7"/>
    <w:rsid w:val="005C3C75"/>
    <w:rsid w:val="005D04F6"/>
    <w:rsid w:val="005D1442"/>
    <w:rsid w:val="005D5BAC"/>
    <w:rsid w:val="005E3468"/>
    <w:rsid w:val="005E762E"/>
    <w:rsid w:val="005F1372"/>
    <w:rsid w:val="005F35F5"/>
    <w:rsid w:val="005F39B0"/>
    <w:rsid w:val="005F4063"/>
    <w:rsid w:val="005F6C52"/>
    <w:rsid w:val="006007F6"/>
    <w:rsid w:val="00600B35"/>
    <w:rsid w:val="006017DD"/>
    <w:rsid w:val="00601919"/>
    <w:rsid w:val="006047CA"/>
    <w:rsid w:val="00604975"/>
    <w:rsid w:val="00611FB2"/>
    <w:rsid w:val="00612051"/>
    <w:rsid w:val="006127D7"/>
    <w:rsid w:val="00617157"/>
    <w:rsid w:val="00617339"/>
    <w:rsid w:val="00617725"/>
    <w:rsid w:val="00622590"/>
    <w:rsid w:val="00625F08"/>
    <w:rsid w:val="006356DE"/>
    <w:rsid w:val="00637D03"/>
    <w:rsid w:val="00640982"/>
    <w:rsid w:val="00651EBB"/>
    <w:rsid w:val="00653967"/>
    <w:rsid w:val="00654898"/>
    <w:rsid w:val="00662BB0"/>
    <w:rsid w:val="006675E2"/>
    <w:rsid w:val="006677BF"/>
    <w:rsid w:val="00675581"/>
    <w:rsid w:val="006756DE"/>
    <w:rsid w:val="00682482"/>
    <w:rsid w:val="00683B9B"/>
    <w:rsid w:val="006A054D"/>
    <w:rsid w:val="006A4890"/>
    <w:rsid w:val="006A6FCE"/>
    <w:rsid w:val="006B3402"/>
    <w:rsid w:val="006C1345"/>
    <w:rsid w:val="006C7628"/>
    <w:rsid w:val="006D67EB"/>
    <w:rsid w:val="006E26D4"/>
    <w:rsid w:val="006E27B7"/>
    <w:rsid w:val="006E42A1"/>
    <w:rsid w:val="006E4509"/>
    <w:rsid w:val="006E4AF7"/>
    <w:rsid w:val="006F03D4"/>
    <w:rsid w:val="006F1EF1"/>
    <w:rsid w:val="006F7366"/>
    <w:rsid w:val="00703139"/>
    <w:rsid w:val="007037D0"/>
    <w:rsid w:val="00706B92"/>
    <w:rsid w:val="00712918"/>
    <w:rsid w:val="00712958"/>
    <w:rsid w:val="0071389B"/>
    <w:rsid w:val="00720503"/>
    <w:rsid w:val="00725316"/>
    <w:rsid w:val="00725924"/>
    <w:rsid w:val="00726918"/>
    <w:rsid w:val="0073102B"/>
    <w:rsid w:val="00733886"/>
    <w:rsid w:val="00737B21"/>
    <w:rsid w:val="00742C1F"/>
    <w:rsid w:val="00744746"/>
    <w:rsid w:val="007470AD"/>
    <w:rsid w:val="007574C5"/>
    <w:rsid w:val="00760291"/>
    <w:rsid w:val="00761799"/>
    <w:rsid w:val="00764304"/>
    <w:rsid w:val="00764DED"/>
    <w:rsid w:val="00765ACE"/>
    <w:rsid w:val="00766226"/>
    <w:rsid w:val="007677C9"/>
    <w:rsid w:val="00771447"/>
    <w:rsid w:val="007746F7"/>
    <w:rsid w:val="0078075A"/>
    <w:rsid w:val="00780CD1"/>
    <w:rsid w:val="00780E58"/>
    <w:rsid w:val="00786D9F"/>
    <w:rsid w:val="0079045B"/>
    <w:rsid w:val="00790A7B"/>
    <w:rsid w:val="007911B3"/>
    <w:rsid w:val="00791F48"/>
    <w:rsid w:val="0079268B"/>
    <w:rsid w:val="00793319"/>
    <w:rsid w:val="007937CD"/>
    <w:rsid w:val="00797F67"/>
    <w:rsid w:val="007B188D"/>
    <w:rsid w:val="007B35E7"/>
    <w:rsid w:val="007B48BD"/>
    <w:rsid w:val="007B491F"/>
    <w:rsid w:val="007B5475"/>
    <w:rsid w:val="007B63DF"/>
    <w:rsid w:val="007B7629"/>
    <w:rsid w:val="007C040A"/>
    <w:rsid w:val="007C07B1"/>
    <w:rsid w:val="007C1F8E"/>
    <w:rsid w:val="007C2EC3"/>
    <w:rsid w:val="007C2EF8"/>
    <w:rsid w:val="007C3B88"/>
    <w:rsid w:val="007C5C2B"/>
    <w:rsid w:val="007C5EC0"/>
    <w:rsid w:val="007D3595"/>
    <w:rsid w:val="007D3F38"/>
    <w:rsid w:val="007D7546"/>
    <w:rsid w:val="007E2007"/>
    <w:rsid w:val="007E4376"/>
    <w:rsid w:val="007E6DCD"/>
    <w:rsid w:val="007F0946"/>
    <w:rsid w:val="007F570D"/>
    <w:rsid w:val="007F6724"/>
    <w:rsid w:val="00806723"/>
    <w:rsid w:val="00810085"/>
    <w:rsid w:val="008111D6"/>
    <w:rsid w:val="0081296A"/>
    <w:rsid w:val="008159B4"/>
    <w:rsid w:val="00821451"/>
    <w:rsid w:val="008253B0"/>
    <w:rsid w:val="00825739"/>
    <w:rsid w:val="00827BD9"/>
    <w:rsid w:val="00834562"/>
    <w:rsid w:val="00836F91"/>
    <w:rsid w:val="00843235"/>
    <w:rsid w:val="008434AC"/>
    <w:rsid w:val="00844CB1"/>
    <w:rsid w:val="00844EF6"/>
    <w:rsid w:val="00845AFF"/>
    <w:rsid w:val="00846897"/>
    <w:rsid w:val="00851303"/>
    <w:rsid w:val="0085215C"/>
    <w:rsid w:val="00853DCA"/>
    <w:rsid w:val="00855233"/>
    <w:rsid w:val="00856818"/>
    <w:rsid w:val="00857C7C"/>
    <w:rsid w:val="0086059C"/>
    <w:rsid w:val="0086263A"/>
    <w:rsid w:val="00865724"/>
    <w:rsid w:val="00866225"/>
    <w:rsid w:val="008663F6"/>
    <w:rsid w:val="00874E98"/>
    <w:rsid w:val="0087614A"/>
    <w:rsid w:val="00876EF9"/>
    <w:rsid w:val="00891D29"/>
    <w:rsid w:val="008935D3"/>
    <w:rsid w:val="00895FA8"/>
    <w:rsid w:val="008961E0"/>
    <w:rsid w:val="008A22B4"/>
    <w:rsid w:val="008A264F"/>
    <w:rsid w:val="008A31FB"/>
    <w:rsid w:val="008A42DD"/>
    <w:rsid w:val="008B5E07"/>
    <w:rsid w:val="008B64B1"/>
    <w:rsid w:val="008B65B5"/>
    <w:rsid w:val="008C117D"/>
    <w:rsid w:val="008C199D"/>
    <w:rsid w:val="008C7F00"/>
    <w:rsid w:val="008D2EFA"/>
    <w:rsid w:val="008D4784"/>
    <w:rsid w:val="008E05E4"/>
    <w:rsid w:val="008E20F4"/>
    <w:rsid w:val="008E3F0C"/>
    <w:rsid w:val="008E5E2B"/>
    <w:rsid w:val="008E6942"/>
    <w:rsid w:val="008F03A4"/>
    <w:rsid w:val="008F0860"/>
    <w:rsid w:val="008F6886"/>
    <w:rsid w:val="0090204D"/>
    <w:rsid w:val="00903CFC"/>
    <w:rsid w:val="00903D7D"/>
    <w:rsid w:val="00904DF9"/>
    <w:rsid w:val="00911272"/>
    <w:rsid w:val="009115AF"/>
    <w:rsid w:val="00911702"/>
    <w:rsid w:val="00911C55"/>
    <w:rsid w:val="00914886"/>
    <w:rsid w:val="00917A38"/>
    <w:rsid w:val="00922F51"/>
    <w:rsid w:val="009238BD"/>
    <w:rsid w:val="00924504"/>
    <w:rsid w:val="0092575A"/>
    <w:rsid w:val="00926271"/>
    <w:rsid w:val="009265F2"/>
    <w:rsid w:val="00927F27"/>
    <w:rsid w:val="0093175A"/>
    <w:rsid w:val="00931B23"/>
    <w:rsid w:val="0093253C"/>
    <w:rsid w:val="00935525"/>
    <w:rsid w:val="00937A9A"/>
    <w:rsid w:val="00937EA1"/>
    <w:rsid w:val="00941BBA"/>
    <w:rsid w:val="00945DD1"/>
    <w:rsid w:val="00947045"/>
    <w:rsid w:val="00947E5E"/>
    <w:rsid w:val="00950590"/>
    <w:rsid w:val="009552BB"/>
    <w:rsid w:val="00956F2F"/>
    <w:rsid w:val="009571EA"/>
    <w:rsid w:val="00961B82"/>
    <w:rsid w:val="00963342"/>
    <w:rsid w:val="00971517"/>
    <w:rsid w:val="00971CC5"/>
    <w:rsid w:val="00971E9E"/>
    <w:rsid w:val="00974097"/>
    <w:rsid w:val="00976D3F"/>
    <w:rsid w:val="00984451"/>
    <w:rsid w:val="00995DEB"/>
    <w:rsid w:val="009A206F"/>
    <w:rsid w:val="009A2BE8"/>
    <w:rsid w:val="009A5002"/>
    <w:rsid w:val="009A7ED5"/>
    <w:rsid w:val="009B1AAF"/>
    <w:rsid w:val="009B74FB"/>
    <w:rsid w:val="009B7DCF"/>
    <w:rsid w:val="009B7FDE"/>
    <w:rsid w:val="009C0853"/>
    <w:rsid w:val="009C0F53"/>
    <w:rsid w:val="009C4594"/>
    <w:rsid w:val="009C5992"/>
    <w:rsid w:val="009C68ED"/>
    <w:rsid w:val="009C76F8"/>
    <w:rsid w:val="009C7B32"/>
    <w:rsid w:val="009D3932"/>
    <w:rsid w:val="009E13DB"/>
    <w:rsid w:val="009F0FFB"/>
    <w:rsid w:val="009F331E"/>
    <w:rsid w:val="009F3A58"/>
    <w:rsid w:val="00A0084B"/>
    <w:rsid w:val="00A00F9A"/>
    <w:rsid w:val="00A01D42"/>
    <w:rsid w:val="00A1107B"/>
    <w:rsid w:val="00A1142A"/>
    <w:rsid w:val="00A11AA7"/>
    <w:rsid w:val="00A122B4"/>
    <w:rsid w:val="00A14A80"/>
    <w:rsid w:val="00A20041"/>
    <w:rsid w:val="00A2032D"/>
    <w:rsid w:val="00A225B7"/>
    <w:rsid w:val="00A23D7D"/>
    <w:rsid w:val="00A308BD"/>
    <w:rsid w:val="00A3228D"/>
    <w:rsid w:val="00A32F46"/>
    <w:rsid w:val="00A34C9E"/>
    <w:rsid w:val="00A3545E"/>
    <w:rsid w:val="00A43BE3"/>
    <w:rsid w:val="00A44C22"/>
    <w:rsid w:val="00A4650A"/>
    <w:rsid w:val="00A46B96"/>
    <w:rsid w:val="00A53510"/>
    <w:rsid w:val="00A612ED"/>
    <w:rsid w:val="00A6405E"/>
    <w:rsid w:val="00A675D1"/>
    <w:rsid w:val="00A906D8"/>
    <w:rsid w:val="00A9339D"/>
    <w:rsid w:val="00A96950"/>
    <w:rsid w:val="00AA1C46"/>
    <w:rsid w:val="00AA1D84"/>
    <w:rsid w:val="00AA22E1"/>
    <w:rsid w:val="00AA2B16"/>
    <w:rsid w:val="00AA5D24"/>
    <w:rsid w:val="00AA696E"/>
    <w:rsid w:val="00AA7720"/>
    <w:rsid w:val="00AB17EE"/>
    <w:rsid w:val="00AB482D"/>
    <w:rsid w:val="00AC10F4"/>
    <w:rsid w:val="00AC4142"/>
    <w:rsid w:val="00AC7ABE"/>
    <w:rsid w:val="00AD0B48"/>
    <w:rsid w:val="00AD426A"/>
    <w:rsid w:val="00AD4A36"/>
    <w:rsid w:val="00AD4BD3"/>
    <w:rsid w:val="00AD66C9"/>
    <w:rsid w:val="00AE2D98"/>
    <w:rsid w:val="00AE2E6B"/>
    <w:rsid w:val="00AE75EA"/>
    <w:rsid w:val="00AE7C21"/>
    <w:rsid w:val="00AE7C5D"/>
    <w:rsid w:val="00AF1230"/>
    <w:rsid w:val="00AF16BD"/>
    <w:rsid w:val="00AF33C2"/>
    <w:rsid w:val="00AF4CE1"/>
    <w:rsid w:val="00AF63EB"/>
    <w:rsid w:val="00AF64EC"/>
    <w:rsid w:val="00AF7350"/>
    <w:rsid w:val="00B05B2F"/>
    <w:rsid w:val="00B104A9"/>
    <w:rsid w:val="00B138F9"/>
    <w:rsid w:val="00B13915"/>
    <w:rsid w:val="00B20DE2"/>
    <w:rsid w:val="00B21881"/>
    <w:rsid w:val="00B223C2"/>
    <w:rsid w:val="00B22B68"/>
    <w:rsid w:val="00B2311C"/>
    <w:rsid w:val="00B24C7E"/>
    <w:rsid w:val="00B41C53"/>
    <w:rsid w:val="00B42441"/>
    <w:rsid w:val="00B4629C"/>
    <w:rsid w:val="00B503FD"/>
    <w:rsid w:val="00B51F23"/>
    <w:rsid w:val="00B523ED"/>
    <w:rsid w:val="00B555D7"/>
    <w:rsid w:val="00B55998"/>
    <w:rsid w:val="00B564D2"/>
    <w:rsid w:val="00B569B7"/>
    <w:rsid w:val="00B5732C"/>
    <w:rsid w:val="00B65355"/>
    <w:rsid w:val="00B71544"/>
    <w:rsid w:val="00B71DA6"/>
    <w:rsid w:val="00B72CE6"/>
    <w:rsid w:val="00B7465F"/>
    <w:rsid w:val="00B75F5B"/>
    <w:rsid w:val="00B8341D"/>
    <w:rsid w:val="00B84639"/>
    <w:rsid w:val="00B8534B"/>
    <w:rsid w:val="00B91D32"/>
    <w:rsid w:val="00B93E95"/>
    <w:rsid w:val="00B94A36"/>
    <w:rsid w:val="00B94C92"/>
    <w:rsid w:val="00B963AC"/>
    <w:rsid w:val="00B963CF"/>
    <w:rsid w:val="00B97848"/>
    <w:rsid w:val="00BA24EC"/>
    <w:rsid w:val="00BA2D12"/>
    <w:rsid w:val="00BA321D"/>
    <w:rsid w:val="00BB4238"/>
    <w:rsid w:val="00BC0F0E"/>
    <w:rsid w:val="00BC3379"/>
    <w:rsid w:val="00BC34E6"/>
    <w:rsid w:val="00BC4C49"/>
    <w:rsid w:val="00BC55E1"/>
    <w:rsid w:val="00BD09B8"/>
    <w:rsid w:val="00BD5AAA"/>
    <w:rsid w:val="00BE1C65"/>
    <w:rsid w:val="00BE36DC"/>
    <w:rsid w:val="00BF038F"/>
    <w:rsid w:val="00BF0C0A"/>
    <w:rsid w:val="00C00DCA"/>
    <w:rsid w:val="00C06273"/>
    <w:rsid w:val="00C06742"/>
    <w:rsid w:val="00C07FF3"/>
    <w:rsid w:val="00C116E4"/>
    <w:rsid w:val="00C12C78"/>
    <w:rsid w:val="00C13725"/>
    <w:rsid w:val="00C145C8"/>
    <w:rsid w:val="00C159C6"/>
    <w:rsid w:val="00C16731"/>
    <w:rsid w:val="00C20DFF"/>
    <w:rsid w:val="00C223D0"/>
    <w:rsid w:val="00C22949"/>
    <w:rsid w:val="00C23213"/>
    <w:rsid w:val="00C23820"/>
    <w:rsid w:val="00C30FF3"/>
    <w:rsid w:val="00C32F0D"/>
    <w:rsid w:val="00C33381"/>
    <w:rsid w:val="00C33659"/>
    <w:rsid w:val="00C35FF7"/>
    <w:rsid w:val="00C37745"/>
    <w:rsid w:val="00C42583"/>
    <w:rsid w:val="00C43F39"/>
    <w:rsid w:val="00C520C5"/>
    <w:rsid w:val="00C53065"/>
    <w:rsid w:val="00C54EC6"/>
    <w:rsid w:val="00C55AC6"/>
    <w:rsid w:val="00C56A7A"/>
    <w:rsid w:val="00C57F7E"/>
    <w:rsid w:val="00C62837"/>
    <w:rsid w:val="00C62F48"/>
    <w:rsid w:val="00C6379E"/>
    <w:rsid w:val="00C706E5"/>
    <w:rsid w:val="00C70B80"/>
    <w:rsid w:val="00C72397"/>
    <w:rsid w:val="00C72A65"/>
    <w:rsid w:val="00C80599"/>
    <w:rsid w:val="00C81378"/>
    <w:rsid w:val="00C828BD"/>
    <w:rsid w:val="00C87055"/>
    <w:rsid w:val="00C877BD"/>
    <w:rsid w:val="00C87A95"/>
    <w:rsid w:val="00C90991"/>
    <w:rsid w:val="00C920CE"/>
    <w:rsid w:val="00C92705"/>
    <w:rsid w:val="00C92EE7"/>
    <w:rsid w:val="00C931E9"/>
    <w:rsid w:val="00CA064F"/>
    <w:rsid w:val="00CA0B7B"/>
    <w:rsid w:val="00CA2747"/>
    <w:rsid w:val="00CA307E"/>
    <w:rsid w:val="00CA32D8"/>
    <w:rsid w:val="00CA773F"/>
    <w:rsid w:val="00CA7C53"/>
    <w:rsid w:val="00CB3224"/>
    <w:rsid w:val="00CB4C3C"/>
    <w:rsid w:val="00CB4F6E"/>
    <w:rsid w:val="00CB6E1C"/>
    <w:rsid w:val="00CC6A3F"/>
    <w:rsid w:val="00CC72E1"/>
    <w:rsid w:val="00CC785E"/>
    <w:rsid w:val="00CD2346"/>
    <w:rsid w:val="00CD48AB"/>
    <w:rsid w:val="00CD5A12"/>
    <w:rsid w:val="00CD5E88"/>
    <w:rsid w:val="00CE06A0"/>
    <w:rsid w:val="00CE3E3B"/>
    <w:rsid w:val="00CE44E7"/>
    <w:rsid w:val="00CE4801"/>
    <w:rsid w:val="00CE4C76"/>
    <w:rsid w:val="00CE4F89"/>
    <w:rsid w:val="00CF2AAF"/>
    <w:rsid w:val="00D02F0C"/>
    <w:rsid w:val="00D0402D"/>
    <w:rsid w:val="00D05F2C"/>
    <w:rsid w:val="00D10BF7"/>
    <w:rsid w:val="00D1298F"/>
    <w:rsid w:val="00D144E4"/>
    <w:rsid w:val="00D16172"/>
    <w:rsid w:val="00D1788F"/>
    <w:rsid w:val="00D212F8"/>
    <w:rsid w:val="00D21465"/>
    <w:rsid w:val="00D219C7"/>
    <w:rsid w:val="00D21A08"/>
    <w:rsid w:val="00D22FE5"/>
    <w:rsid w:val="00D25886"/>
    <w:rsid w:val="00D26BE5"/>
    <w:rsid w:val="00D26E59"/>
    <w:rsid w:val="00D2716E"/>
    <w:rsid w:val="00D3157D"/>
    <w:rsid w:val="00D31C1C"/>
    <w:rsid w:val="00D326B8"/>
    <w:rsid w:val="00D41F37"/>
    <w:rsid w:val="00D42BEF"/>
    <w:rsid w:val="00D466E0"/>
    <w:rsid w:val="00D547E0"/>
    <w:rsid w:val="00D56774"/>
    <w:rsid w:val="00D60064"/>
    <w:rsid w:val="00D62206"/>
    <w:rsid w:val="00D622BE"/>
    <w:rsid w:val="00D66605"/>
    <w:rsid w:val="00D720EE"/>
    <w:rsid w:val="00D77581"/>
    <w:rsid w:val="00D82754"/>
    <w:rsid w:val="00D84364"/>
    <w:rsid w:val="00D8536B"/>
    <w:rsid w:val="00D92248"/>
    <w:rsid w:val="00D9572B"/>
    <w:rsid w:val="00D9578C"/>
    <w:rsid w:val="00DB03CC"/>
    <w:rsid w:val="00DB092C"/>
    <w:rsid w:val="00DB64F6"/>
    <w:rsid w:val="00DB6DBA"/>
    <w:rsid w:val="00DB700C"/>
    <w:rsid w:val="00DD0436"/>
    <w:rsid w:val="00DD05E2"/>
    <w:rsid w:val="00DD07FE"/>
    <w:rsid w:val="00DD0FC7"/>
    <w:rsid w:val="00DD3A67"/>
    <w:rsid w:val="00DD6DCA"/>
    <w:rsid w:val="00DD7197"/>
    <w:rsid w:val="00DD734C"/>
    <w:rsid w:val="00DE125E"/>
    <w:rsid w:val="00DE1313"/>
    <w:rsid w:val="00DE1A26"/>
    <w:rsid w:val="00DF249B"/>
    <w:rsid w:val="00DF7F83"/>
    <w:rsid w:val="00E02221"/>
    <w:rsid w:val="00E05DD7"/>
    <w:rsid w:val="00E06238"/>
    <w:rsid w:val="00E079DC"/>
    <w:rsid w:val="00E1664C"/>
    <w:rsid w:val="00E206DA"/>
    <w:rsid w:val="00E21156"/>
    <w:rsid w:val="00E21E21"/>
    <w:rsid w:val="00E22490"/>
    <w:rsid w:val="00E23768"/>
    <w:rsid w:val="00E23F30"/>
    <w:rsid w:val="00E24037"/>
    <w:rsid w:val="00E247DE"/>
    <w:rsid w:val="00E26E7A"/>
    <w:rsid w:val="00E27FF1"/>
    <w:rsid w:val="00E42798"/>
    <w:rsid w:val="00E43307"/>
    <w:rsid w:val="00E44F7B"/>
    <w:rsid w:val="00E462CE"/>
    <w:rsid w:val="00E464A0"/>
    <w:rsid w:val="00E46668"/>
    <w:rsid w:val="00E46FD8"/>
    <w:rsid w:val="00E52399"/>
    <w:rsid w:val="00E524F1"/>
    <w:rsid w:val="00E551DB"/>
    <w:rsid w:val="00E64D47"/>
    <w:rsid w:val="00E656F5"/>
    <w:rsid w:val="00E66EC9"/>
    <w:rsid w:val="00E71EDA"/>
    <w:rsid w:val="00E72EFC"/>
    <w:rsid w:val="00E73320"/>
    <w:rsid w:val="00E73462"/>
    <w:rsid w:val="00E73F08"/>
    <w:rsid w:val="00E749A9"/>
    <w:rsid w:val="00E74A5D"/>
    <w:rsid w:val="00E74EB4"/>
    <w:rsid w:val="00E75080"/>
    <w:rsid w:val="00E77647"/>
    <w:rsid w:val="00E8519A"/>
    <w:rsid w:val="00E85554"/>
    <w:rsid w:val="00E910B9"/>
    <w:rsid w:val="00E91926"/>
    <w:rsid w:val="00E927C2"/>
    <w:rsid w:val="00E958BA"/>
    <w:rsid w:val="00E963D2"/>
    <w:rsid w:val="00E967AE"/>
    <w:rsid w:val="00EA0E7A"/>
    <w:rsid w:val="00EA1E27"/>
    <w:rsid w:val="00EA72B7"/>
    <w:rsid w:val="00EA7365"/>
    <w:rsid w:val="00EB0A4C"/>
    <w:rsid w:val="00EB2CCF"/>
    <w:rsid w:val="00EB4E4E"/>
    <w:rsid w:val="00EB512C"/>
    <w:rsid w:val="00EC0DCC"/>
    <w:rsid w:val="00EC3CA0"/>
    <w:rsid w:val="00EC5BAE"/>
    <w:rsid w:val="00EC7B99"/>
    <w:rsid w:val="00ED0FF3"/>
    <w:rsid w:val="00ED1EB6"/>
    <w:rsid w:val="00ED2570"/>
    <w:rsid w:val="00EE3BFC"/>
    <w:rsid w:val="00EE44F9"/>
    <w:rsid w:val="00EE5303"/>
    <w:rsid w:val="00EE6762"/>
    <w:rsid w:val="00EF1C59"/>
    <w:rsid w:val="00EF2CC9"/>
    <w:rsid w:val="00EF53D3"/>
    <w:rsid w:val="00EF54F6"/>
    <w:rsid w:val="00F0087A"/>
    <w:rsid w:val="00F00B6E"/>
    <w:rsid w:val="00F00F64"/>
    <w:rsid w:val="00F01F60"/>
    <w:rsid w:val="00F04347"/>
    <w:rsid w:val="00F06665"/>
    <w:rsid w:val="00F07783"/>
    <w:rsid w:val="00F134B3"/>
    <w:rsid w:val="00F153A8"/>
    <w:rsid w:val="00F17B07"/>
    <w:rsid w:val="00F22105"/>
    <w:rsid w:val="00F22585"/>
    <w:rsid w:val="00F235F5"/>
    <w:rsid w:val="00F2390F"/>
    <w:rsid w:val="00F23F2F"/>
    <w:rsid w:val="00F24A7E"/>
    <w:rsid w:val="00F25F0D"/>
    <w:rsid w:val="00F27BF3"/>
    <w:rsid w:val="00F32E4B"/>
    <w:rsid w:val="00F36308"/>
    <w:rsid w:val="00F3643D"/>
    <w:rsid w:val="00F41E6C"/>
    <w:rsid w:val="00F433A0"/>
    <w:rsid w:val="00F45DC7"/>
    <w:rsid w:val="00F51B58"/>
    <w:rsid w:val="00F52169"/>
    <w:rsid w:val="00F53343"/>
    <w:rsid w:val="00F55595"/>
    <w:rsid w:val="00F55B18"/>
    <w:rsid w:val="00F56D13"/>
    <w:rsid w:val="00F577A5"/>
    <w:rsid w:val="00F62623"/>
    <w:rsid w:val="00F62ADA"/>
    <w:rsid w:val="00F63504"/>
    <w:rsid w:val="00F6390E"/>
    <w:rsid w:val="00F671DB"/>
    <w:rsid w:val="00F7252D"/>
    <w:rsid w:val="00F72A3C"/>
    <w:rsid w:val="00F802A9"/>
    <w:rsid w:val="00F80DF7"/>
    <w:rsid w:val="00F811FF"/>
    <w:rsid w:val="00F81B99"/>
    <w:rsid w:val="00F81E3F"/>
    <w:rsid w:val="00F826A6"/>
    <w:rsid w:val="00F827ED"/>
    <w:rsid w:val="00F83EF6"/>
    <w:rsid w:val="00F865B0"/>
    <w:rsid w:val="00F8798C"/>
    <w:rsid w:val="00F923D9"/>
    <w:rsid w:val="00F9256D"/>
    <w:rsid w:val="00F927CE"/>
    <w:rsid w:val="00F93990"/>
    <w:rsid w:val="00FA10A5"/>
    <w:rsid w:val="00FA4108"/>
    <w:rsid w:val="00FA4C3C"/>
    <w:rsid w:val="00FA7BF0"/>
    <w:rsid w:val="00FB0D80"/>
    <w:rsid w:val="00FB1897"/>
    <w:rsid w:val="00FB1947"/>
    <w:rsid w:val="00FB7E0B"/>
    <w:rsid w:val="00FC0073"/>
    <w:rsid w:val="00FC0B98"/>
    <w:rsid w:val="00FC3778"/>
    <w:rsid w:val="00FC4EA9"/>
    <w:rsid w:val="00FC5D1F"/>
    <w:rsid w:val="00FC60D5"/>
    <w:rsid w:val="00FD16D5"/>
    <w:rsid w:val="00FD2D1D"/>
    <w:rsid w:val="00FD3769"/>
    <w:rsid w:val="00FE1E1A"/>
    <w:rsid w:val="00FE2B03"/>
    <w:rsid w:val="00FE397A"/>
    <w:rsid w:val="00FE4230"/>
    <w:rsid w:val="00FE5FCD"/>
    <w:rsid w:val="00FE676C"/>
    <w:rsid w:val="00FE723A"/>
    <w:rsid w:val="00FE7707"/>
    <w:rsid w:val="00FE7E69"/>
    <w:rsid w:val="00FF262A"/>
    <w:rsid w:val="00FF39EE"/>
    <w:rsid w:val="00FF594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369EA"/>
    <w:pPr>
      <w:keepNext/>
      <w:keepLines/>
      <w:numPr>
        <w:numId w:val="2"/>
      </w:numPr>
      <w:spacing w:after="360"/>
      <w:outlineLvl w:val="0"/>
    </w:pPr>
    <w:rPr>
      <w:rFonts w:asciiTheme="majorHAnsi" w:eastAsiaTheme="majorEastAsia" w:hAnsiTheme="majorHAnsi" w:cstheme="majorBidi"/>
      <w:b/>
      <w:bCs/>
      <w:sz w:val="28"/>
      <w:szCs w:val="28"/>
    </w:rPr>
  </w:style>
  <w:style w:type="paragraph" w:styleId="Nadpis2">
    <w:name w:val="heading 2"/>
    <w:aliases w:val="Nadpis 2;Nadpis 2 úroveň,h2,Nadpis 2 úroveň"/>
    <w:basedOn w:val="Odstavecseseznamem"/>
    <w:next w:val="Normln"/>
    <w:link w:val="Nadpis2Char"/>
    <w:uiPriority w:val="9"/>
    <w:unhideWhenUsed/>
    <w:qFormat/>
    <w:rsid w:val="000369EA"/>
    <w:pPr>
      <w:numPr>
        <w:ilvl w:val="1"/>
        <w:numId w:val="2"/>
      </w:numPr>
      <w:outlineLvl w:val="1"/>
    </w:pPr>
    <w:rPr>
      <w:b/>
      <w:sz w:val="24"/>
      <w:szCs w:val="20"/>
    </w:rPr>
  </w:style>
  <w:style w:type="paragraph" w:styleId="Nadpis3">
    <w:name w:val="heading 3"/>
    <w:aliases w:val="Nadpis 3 úroveň"/>
    <w:basedOn w:val="Normln"/>
    <w:next w:val="Normln"/>
    <w:link w:val="Nadpis3Char"/>
    <w:uiPriority w:val="9"/>
    <w:unhideWhenUsed/>
    <w:qFormat/>
    <w:rsid w:val="00AE2E6B"/>
    <w:pPr>
      <w:keepNext/>
      <w:keepLines/>
      <w:numPr>
        <w:ilvl w:val="2"/>
        <w:numId w:val="2"/>
      </w:numPr>
      <w:spacing w:before="200"/>
      <w:jc w:val="both"/>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AE2E6B"/>
    <w:pPr>
      <w:keepNext/>
      <w:keepLines/>
      <w:numPr>
        <w:ilvl w:val="3"/>
        <w:numId w:val="2"/>
      </w:num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0369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369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0369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0369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369E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List Paragraph"/>
    <w:basedOn w:val="Normln"/>
    <w:link w:val="OdstavecseseznamemChar"/>
    <w:uiPriority w:val="34"/>
    <w:qFormat/>
    <w:rsid w:val="00403E3C"/>
    <w:pPr>
      <w:ind w:left="720"/>
      <w:contextualSpacing/>
    </w:pPr>
  </w:style>
  <w:style w:type="character" w:styleId="Odkaznakoment">
    <w:name w:val="annotation reference"/>
    <w:basedOn w:val="Standardnpsmoodstavce"/>
    <w:uiPriority w:val="99"/>
    <w:semiHidden/>
    <w:unhideWhenUsed/>
    <w:rsid w:val="00B41C53"/>
    <w:rPr>
      <w:sz w:val="16"/>
      <w:szCs w:val="16"/>
    </w:rPr>
  </w:style>
  <w:style w:type="paragraph" w:styleId="Textkomente">
    <w:name w:val="annotation text"/>
    <w:basedOn w:val="Normln"/>
    <w:link w:val="TextkomenteChar"/>
    <w:uiPriority w:val="99"/>
    <w:unhideWhenUsed/>
    <w:rsid w:val="00B41C53"/>
    <w:pPr>
      <w:spacing w:line="240" w:lineRule="auto"/>
    </w:pPr>
    <w:rPr>
      <w:sz w:val="20"/>
      <w:szCs w:val="20"/>
    </w:rPr>
  </w:style>
  <w:style w:type="character" w:customStyle="1" w:styleId="TextkomenteChar">
    <w:name w:val="Text komentáře Char"/>
    <w:basedOn w:val="Standardnpsmoodstavce"/>
    <w:link w:val="Textkomente"/>
    <w:uiPriority w:val="99"/>
    <w:rsid w:val="00B41C53"/>
    <w:rPr>
      <w:sz w:val="20"/>
      <w:szCs w:val="20"/>
    </w:rPr>
  </w:style>
  <w:style w:type="paragraph" w:styleId="Pedmtkomente">
    <w:name w:val="annotation subject"/>
    <w:basedOn w:val="Textkomente"/>
    <w:next w:val="Textkomente"/>
    <w:link w:val="PedmtkomenteChar"/>
    <w:uiPriority w:val="99"/>
    <w:semiHidden/>
    <w:unhideWhenUsed/>
    <w:rsid w:val="00B41C53"/>
    <w:rPr>
      <w:b/>
      <w:bCs/>
    </w:rPr>
  </w:style>
  <w:style w:type="character" w:customStyle="1" w:styleId="PedmtkomenteChar">
    <w:name w:val="Předmět komentáře Char"/>
    <w:basedOn w:val="TextkomenteChar"/>
    <w:link w:val="Pedmtkomente"/>
    <w:uiPriority w:val="99"/>
    <w:semiHidden/>
    <w:rsid w:val="00B41C53"/>
    <w:rPr>
      <w:b/>
      <w:bCs/>
      <w:sz w:val="20"/>
      <w:szCs w:val="20"/>
    </w:rPr>
  </w:style>
  <w:style w:type="paragraph" w:styleId="Textbubliny">
    <w:name w:val="Balloon Text"/>
    <w:basedOn w:val="Normln"/>
    <w:link w:val="TextbublinyChar"/>
    <w:uiPriority w:val="99"/>
    <w:semiHidden/>
    <w:unhideWhenUsed/>
    <w:rsid w:val="00B41C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C53"/>
    <w:rPr>
      <w:rFonts w:ascii="Tahoma" w:hAnsi="Tahoma" w:cs="Tahoma"/>
      <w:sz w:val="16"/>
      <w:szCs w:val="16"/>
    </w:rPr>
  </w:style>
  <w:style w:type="paragraph" w:customStyle="1" w:styleId="Default">
    <w:name w:val="Default"/>
    <w:rsid w:val="000369EA"/>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1Char">
    <w:name w:val="Nadpis 1 Char"/>
    <w:basedOn w:val="Standardnpsmoodstavce"/>
    <w:link w:val="Nadpis1"/>
    <w:uiPriority w:val="9"/>
    <w:rsid w:val="000369EA"/>
    <w:rPr>
      <w:rFonts w:asciiTheme="majorHAnsi" w:eastAsiaTheme="majorEastAsia" w:hAnsiTheme="majorHAnsi" w:cstheme="majorBidi"/>
      <w:b/>
      <w:bCs/>
      <w:sz w:val="28"/>
      <w:szCs w:val="28"/>
    </w:rPr>
  </w:style>
  <w:style w:type="character" w:customStyle="1" w:styleId="Nadpis2Char">
    <w:name w:val="Nadpis 2 Char"/>
    <w:aliases w:val="Nadpis 2;Nadpis 2 úroveň Char,h2 Char,Nadpis 2 úroveň Char"/>
    <w:basedOn w:val="Standardnpsmoodstavce"/>
    <w:link w:val="Nadpis2"/>
    <w:uiPriority w:val="9"/>
    <w:rsid w:val="000369EA"/>
    <w:rPr>
      <w:b/>
      <w:sz w:val="24"/>
      <w:szCs w:val="20"/>
    </w:rPr>
  </w:style>
  <w:style w:type="character" w:customStyle="1" w:styleId="Nadpis3Char">
    <w:name w:val="Nadpis 3 Char"/>
    <w:aliases w:val="Nadpis 3 úroveň Char"/>
    <w:basedOn w:val="Standardnpsmoodstavce"/>
    <w:link w:val="Nadpis3"/>
    <w:uiPriority w:val="9"/>
    <w:rsid w:val="00AE2E6B"/>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AE2E6B"/>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0369E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0369E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0369E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0369E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0369EA"/>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81296A"/>
    <w:pPr>
      <w:numPr>
        <w:numId w:val="0"/>
      </w:numPr>
      <w:spacing w:before="480" w:after="0"/>
      <w:outlineLvl w:val="9"/>
    </w:pPr>
    <w:rPr>
      <w:color w:val="365F91" w:themeColor="accent1" w:themeShade="BF"/>
      <w:lang w:eastAsia="cs-CZ"/>
    </w:rPr>
  </w:style>
  <w:style w:type="paragraph" w:styleId="Obsah1">
    <w:name w:val="toc 1"/>
    <w:basedOn w:val="Normln"/>
    <w:next w:val="Normln"/>
    <w:autoRedefine/>
    <w:uiPriority w:val="39"/>
    <w:unhideWhenUsed/>
    <w:rsid w:val="0081296A"/>
    <w:pPr>
      <w:spacing w:after="100"/>
    </w:pPr>
  </w:style>
  <w:style w:type="paragraph" w:styleId="Obsah2">
    <w:name w:val="toc 2"/>
    <w:basedOn w:val="Normln"/>
    <w:next w:val="Normln"/>
    <w:autoRedefine/>
    <w:uiPriority w:val="39"/>
    <w:unhideWhenUsed/>
    <w:rsid w:val="0081296A"/>
    <w:pPr>
      <w:spacing w:after="100"/>
      <w:ind w:left="220"/>
    </w:pPr>
  </w:style>
  <w:style w:type="character" w:styleId="Hypertextovodkaz">
    <w:name w:val="Hyperlink"/>
    <w:basedOn w:val="Standardnpsmoodstavce"/>
    <w:uiPriority w:val="99"/>
    <w:unhideWhenUsed/>
    <w:rsid w:val="0081296A"/>
    <w:rPr>
      <w:color w:val="0000FF" w:themeColor="hyperlink"/>
      <w:u w:val="single"/>
    </w:rPr>
  </w:style>
  <w:style w:type="paragraph" w:styleId="Zhlav">
    <w:name w:val="header"/>
    <w:basedOn w:val="Normln"/>
    <w:link w:val="ZhlavChar"/>
    <w:uiPriority w:val="99"/>
    <w:unhideWhenUsed/>
    <w:rsid w:val="008129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296A"/>
  </w:style>
  <w:style w:type="paragraph" w:styleId="Zpat">
    <w:name w:val="footer"/>
    <w:basedOn w:val="Normln"/>
    <w:link w:val="ZpatChar"/>
    <w:uiPriority w:val="99"/>
    <w:unhideWhenUsed/>
    <w:rsid w:val="0081296A"/>
    <w:pPr>
      <w:tabs>
        <w:tab w:val="center" w:pos="4536"/>
        <w:tab w:val="right" w:pos="9072"/>
      </w:tabs>
      <w:spacing w:after="0" w:line="240" w:lineRule="auto"/>
    </w:pPr>
  </w:style>
  <w:style w:type="character" w:customStyle="1" w:styleId="ZpatChar">
    <w:name w:val="Zápatí Char"/>
    <w:basedOn w:val="Standardnpsmoodstavce"/>
    <w:link w:val="Zpat"/>
    <w:uiPriority w:val="99"/>
    <w:rsid w:val="0081296A"/>
  </w:style>
  <w:style w:type="paragraph" w:styleId="Titulek">
    <w:name w:val="caption"/>
    <w:aliases w:val="Beschriftung_tab,tab_überschrift Char,Titulek Obr.,Char"/>
    <w:basedOn w:val="Normln"/>
    <w:next w:val="Normln"/>
    <w:link w:val="TitulekChar"/>
    <w:unhideWhenUsed/>
    <w:qFormat/>
    <w:rsid w:val="000254E5"/>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0B7721"/>
    <w:pPr>
      <w:spacing w:after="0"/>
    </w:pPr>
  </w:style>
  <w:style w:type="character" w:customStyle="1" w:styleId="TitulekChar">
    <w:name w:val="Titulek Char"/>
    <w:aliases w:val="Beschriftung_tab Char,tab_überschrift Char Char,Titulek Obr. Char,Char Char"/>
    <w:link w:val="Titulek"/>
    <w:locked/>
    <w:rsid w:val="00D16172"/>
    <w:rPr>
      <w:b/>
      <w:bCs/>
      <w:color w:val="4F81BD" w:themeColor="accent1"/>
      <w:sz w:val="18"/>
      <w:szCs w:val="18"/>
    </w:rPr>
  </w:style>
  <w:style w:type="paragraph" w:styleId="Textpoznpodarou">
    <w:name w:val="footnote text"/>
    <w:basedOn w:val="Normln"/>
    <w:link w:val="TextpoznpodarouChar"/>
    <w:unhideWhenUsed/>
    <w:rsid w:val="0059604B"/>
    <w:pPr>
      <w:spacing w:after="0" w:line="240" w:lineRule="auto"/>
    </w:pPr>
    <w:rPr>
      <w:sz w:val="20"/>
      <w:szCs w:val="20"/>
    </w:rPr>
  </w:style>
  <w:style w:type="character" w:customStyle="1" w:styleId="TextpoznpodarouChar">
    <w:name w:val="Text pozn. pod čarou Char"/>
    <w:basedOn w:val="Standardnpsmoodstavce"/>
    <w:link w:val="Textpoznpodarou"/>
    <w:rsid w:val="0059604B"/>
    <w:rPr>
      <w:sz w:val="20"/>
      <w:szCs w:val="20"/>
    </w:rPr>
  </w:style>
  <w:style w:type="character" w:styleId="Znakapoznpodarou">
    <w:name w:val="footnote reference"/>
    <w:aliases w:val="EN Footnote Reference"/>
    <w:basedOn w:val="Standardnpsmoodstavce"/>
    <w:unhideWhenUsed/>
    <w:rsid w:val="0059604B"/>
    <w:rPr>
      <w:vertAlign w:val="superscript"/>
    </w:rPr>
  </w:style>
  <w:style w:type="paragraph" w:customStyle="1" w:styleId="Normlnsmezerou">
    <w:name w:val="Normální s mezerou"/>
    <w:basedOn w:val="Normln"/>
    <w:rsid w:val="00207325"/>
    <w:pPr>
      <w:widowControl w:val="0"/>
      <w:autoSpaceDE w:val="0"/>
      <w:autoSpaceDN w:val="0"/>
      <w:adjustRightInd w:val="0"/>
      <w:spacing w:before="60" w:after="60" w:line="240" w:lineRule="auto"/>
      <w:ind w:firstLine="709"/>
      <w:jc w:val="both"/>
    </w:pPr>
    <w:rPr>
      <w:rFonts w:ascii="Arial" w:eastAsia="Times New Roman" w:hAnsi="Arial" w:cs="Arial"/>
      <w:sz w:val="24"/>
      <w:szCs w:val="24"/>
      <w:lang w:eastAsia="cs-CZ"/>
    </w:rPr>
  </w:style>
  <w:style w:type="paragraph" w:customStyle="1" w:styleId="Odstavecseseznamem1">
    <w:name w:val="Odstavec se seznamem1"/>
    <w:basedOn w:val="Normln"/>
    <w:rsid w:val="00207325"/>
    <w:pPr>
      <w:ind w:left="720"/>
      <w:contextualSpacing/>
    </w:pPr>
    <w:rPr>
      <w:rFonts w:ascii="Calibri" w:eastAsia="Times New Roman" w:hAnsi="Calibri" w:cs="Times New Roman"/>
    </w:rPr>
  </w:style>
  <w:style w:type="paragraph" w:customStyle="1" w:styleId="Albizkladn">
    <w:name w:val="Albi_základní"/>
    <w:basedOn w:val="Normln"/>
    <w:link w:val="AlbizkladnChar"/>
    <w:rsid w:val="00520416"/>
    <w:pPr>
      <w:spacing w:before="60" w:after="60" w:line="240" w:lineRule="auto"/>
      <w:jc w:val="both"/>
    </w:pPr>
    <w:rPr>
      <w:rFonts w:ascii="Times New Roman" w:eastAsia="Times New Roman" w:hAnsi="Times New Roman" w:cs="Times New Roman"/>
      <w:sz w:val="24"/>
      <w:szCs w:val="20"/>
      <w:lang w:eastAsia="cs-CZ"/>
    </w:rPr>
  </w:style>
  <w:style w:type="character" w:customStyle="1" w:styleId="AlbizkladnChar">
    <w:name w:val="Albi_základní Char"/>
    <w:link w:val="Albizkladn"/>
    <w:locked/>
    <w:rsid w:val="00520416"/>
    <w:rPr>
      <w:rFonts w:ascii="Times New Roman" w:eastAsia="Times New Roman" w:hAnsi="Times New Roman" w:cs="Times New Roman"/>
      <w:sz w:val="24"/>
      <w:szCs w:val="20"/>
      <w:lang w:eastAsia="cs-CZ"/>
    </w:rPr>
  </w:style>
  <w:style w:type="paragraph" w:customStyle="1" w:styleId="StylAlbizkladnAsieMSMincho">
    <w:name w:val="Styl Albi_základní + (Asie) MS Mincho"/>
    <w:basedOn w:val="Albizkladn"/>
    <w:link w:val="StylAlbizkladnAsieMSMinchoChar"/>
    <w:rsid w:val="00520416"/>
    <w:rPr>
      <w:rFonts w:eastAsia="MS Mincho"/>
    </w:rPr>
  </w:style>
  <w:style w:type="character" w:customStyle="1" w:styleId="StylAlbizkladnAsieMSMinchoChar">
    <w:name w:val="Styl Albi_základní + (Asie) MS Mincho Char"/>
    <w:link w:val="StylAlbizkladnAsieMSMincho"/>
    <w:locked/>
    <w:rsid w:val="00520416"/>
    <w:rPr>
      <w:rFonts w:ascii="Times New Roman" w:eastAsia="MS Mincho" w:hAnsi="Times New Roman" w:cs="Times New Roman"/>
      <w:sz w:val="24"/>
      <w:szCs w:val="20"/>
      <w:lang w:eastAsia="cs-CZ"/>
    </w:rPr>
  </w:style>
  <w:style w:type="paragraph" w:customStyle="1" w:styleId="CM1">
    <w:name w:val="CM1"/>
    <w:basedOn w:val="Default"/>
    <w:next w:val="Default"/>
    <w:uiPriority w:val="99"/>
    <w:rsid w:val="00520416"/>
    <w:rPr>
      <w:rFonts w:ascii="EUAlbertina" w:hAnsi="EUAlbertina" w:cs="Times New Roman"/>
      <w:color w:val="auto"/>
    </w:rPr>
  </w:style>
  <w:style w:type="paragraph" w:styleId="Zkladntext">
    <w:name w:val="Body Text"/>
    <w:aliases w:val="bt,text,Body Text2"/>
    <w:basedOn w:val="Normln"/>
    <w:link w:val="ZkladntextChar"/>
    <w:uiPriority w:val="99"/>
    <w:rsid w:val="00024291"/>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aliases w:val="bt Char,text Char,Body Text2 Char"/>
    <w:basedOn w:val="Standardnpsmoodstavce"/>
    <w:link w:val="Zkladntext"/>
    <w:uiPriority w:val="99"/>
    <w:rsid w:val="00024291"/>
    <w:rPr>
      <w:rFonts w:ascii="Times New Roman" w:eastAsia="Times New Roman" w:hAnsi="Times New Roman" w:cs="Times New Roman"/>
      <w:sz w:val="24"/>
      <w:szCs w:val="20"/>
      <w:lang w:eastAsia="cs-CZ"/>
    </w:rPr>
  </w:style>
  <w:style w:type="table" w:styleId="Mkatabulky">
    <w:name w:val="Table Grid"/>
    <w:basedOn w:val="Normlntabulka"/>
    <w:uiPriority w:val="59"/>
    <w:rsid w:val="00EF1C5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C70B80"/>
    <w:pPr>
      <w:autoSpaceDE w:val="0"/>
      <w:autoSpaceDN w:val="0"/>
      <w:adjustRightInd w:val="0"/>
      <w:spacing w:before="240" w:after="100"/>
      <w:ind w:left="400"/>
      <w:jc w:val="both"/>
    </w:pPr>
    <w:rPr>
      <w:rFonts w:ascii="Calibri" w:eastAsia="Times New Roman" w:hAnsi="Calibri" w:cs="Calibri"/>
      <w:color w:val="000000"/>
      <w:lang w:eastAsia="cs-CZ"/>
    </w:rPr>
  </w:style>
  <w:style w:type="paragraph" w:styleId="Obsah4">
    <w:name w:val="toc 4"/>
    <w:basedOn w:val="Normln"/>
    <w:next w:val="Normln"/>
    <w:autoRedefine/>
    <w:uiPriority w:val="39"/>
    <w:unhideWhenUsed/>
    <w:rsid w:val="00C70B80"/>
    <w:pPr>
      <w:autoSpaceDE w:val="0"/>
      <w:autoSpaceDN w:val="0"/>
      <w:adjustRightInd w:val="0"/>
      <w:spacing w:before="240" w:after="100"/>
      <w:ind w:left="600"/>
      <w:jc w:val="both"/>
    </w:pPr>
    <w:rPr>
      <w:rFonts w:ascii="Calibri" w:eastAsia="Times New Roman" w:hAnsi="Calibri" w:cs="Calibri"/>
      <w:color w:val="000000"/>
      <w:lang w:eastAsia="cs-CZ"/>
    </w:rPr>
  </w:style>
  <w:style w:type="character" w:styleId="Zdraznn">
    <w:name w:val="Emphasis"/>
    <w:uiPriority w:val="20"/>
    <w:qFormat/>
    <w:rsid w:val="00C70B80"/>
    <w:rPr>
      <w:i/>
      <w:iCs/>
    </w:rPr>
  </w:style>
  <w:style w:type="paragraph" w:customStyle="1" w:styleId="BodyText1">
    <w:name w:val="Body Text1"/>
    <w:link w:val="BodytextChar"/>
    <w:qFormat/>
    <w:rsid w:val="00C70B80"/>
    <w:pPr>
      <w:spacing w:after="120" w:line="240" w:lineRule="auto"/>
    </w:pPr>
    <w:rPr>
      <w:rFonts w:ascii="Arial" w:eastAsia="Times New Roman" w:hAnsi="Arial" w:cs="Times New Roman"/>
      <w:color w:val="000000"/>
      <w:sz w:val="19"/>
      <w:szCs w:val="19"/>
    </w:rPr>
  </w:style>
  <w:style w:type="character" w:customStyle="1" w:styleId="BodytextChar">
    <w:name w:val="Body text Char"/>
    <w:link w:val="BodyText1"/>
    <w:locked/>
    <w:rsid w:val="00C70B80"/>
    <w:rPr>
      <w:rFonts w:ascii="Arial" w:eastAsia="Times New Roman" w:hAnsi="Arial" w:cs="Times New Roman"/>
      <w:color w:val="000000"/>
      <w:sz w:val="19"/>
      <w:szCs w:val="19"/>
    </w:rPr>
  </w:style>
  <w:style w:type="paragraph" w:customStyle="1" w:styleId="Bullet1">
    <w:name w:val="Bullet 1"/>
    <w:basedOn w:val="Normln"/>
    <w:link w:val="Bullet1Char"/>
    <w:qFormat/>
    <w:rsid w:val="00C70B80"/>
    <w:pPr>
      <w:numPr>
        <w:numId w:val="8"/>
      </w:numPr>
      <w:spacing w:before="120" w:after="120" w:line="240" w:lineRule="auto"/>
    </w:pPr>
    <w:rPr>
      <w:rFonts w:ascii="Arial" w:eastAsia="Times New Roman" w:hAnsi="Arial" w:cs="Times New Roman"/>
      <w:szCs w:val="24"/>
      <w:lang w:val="x-none" w:eastAsia="x-none"/>
    </w:rPr>
  </w:style>
  <w:style w:type="character" w:customStyle="1" w:styleId="Bullet1Char">
    <w:name w:val="Bullet 1 Char"/>
    <w:link w:val="Bullet1"/>
    <w:rsid w:val="00C70B80"/>
    <w:rPr>
      <w:rFonts w:ascii="Arial" w:eastAsia="Times New Roman" w:hAnsi="Arial" w:cs="Times New Roman"/>
      <w:szCs w:val="24"/>
      <w:lang w:val="x-none" w:eastAsia="x-none"/>
    </w:rPr>
  </w:style>
  <w:style w:type="paragraph" w:customStyle="1" w:styleId="Style10ptDarkBlueBefore5ptAfter5pt">
    <w:name w:val="Style 10 pt Dark Blue Before:  5 pt After:  5 pt"/>
    <w:basedOn w:val="Normln"/>
    <w:uiPriority w:val="99"/>
    <w:rsid w:val="00C70B80"/>
    <w:pPr>
      <w:spacing w:before="120" w:after="120" w:line="240" w:lineRule="auto"/>
    </w:pPr>
    <w:rPr>
      <w:rFonts w:ascii="Times New Roman" w:eastAsia="Times New Roman" w:hAnsi="Times New Roman" w:cs="Times New Roman"/>
      <w:color w:val="000080"/>
      <w:sz w:val="20"/>
      <w:szCs w:val="20"/>
      <w:lang w:val="en-US"/>
    </w:rPr>
  </w:style>
  <w:style w:type="character" w:styleId="Sledovanodkaz">
    <w:name w:val="FollowedHyperlink"/>
    <w:uiPriority w:val="99"/>
    <w:semiHidden/>
    <w:unhideWhenUsed/>
    <w:rsid w:val="00C70B80"/>
    <w:rPr>
      <w:color w:val="800080"/>
      <w:u w:val="single"/>
    </w:rPr>
  </w:style>
  <w:style w:type="character" w:styleId="Zstupntext">
    <w:name w:val="Placeholder Text"/>
    <w:uiPriority w:val="99"/>
    <w:semiHidden/>
    <w:rsid w:val="00C70B80"/>
    <w:rPr>
      <w:color w:val="808080"/>
    </w:rPr>
  </w:style>
  <w:style w:type="paragraph" w:styleId="Normlnweb">
    <w:name w:val="Normal (Web)"/>
    <w:basedOn w:val="Normln"/>
    <w:uiPriority w:val="99"/>
    <w:unhideWhenUsed/>
    <w:rsid w:val="00C70B80"/>
    <w:pPr>
      <w:spacing w:before="100" w:beforeAutospacing="1" w:after="100" w:afterAutospacing="1" w:line="240" w:lineRule="auto"/>
    </w:pPr>
    <w:rPr>
      <w:rFonts w:ascii="Times New Roman" w:eastAsia="SimSun" w:hAnsi="Times New Roman" w:cs="Times New Roman"/>
      <w:sz w:val="24"/>
      <w:szCs w:val="24"/>
      <w:lang w:eastAsia="cs-CZ"/>
    </w:rPr>
  </w:style>
  <w:style w:type="paragraph" w:styleId="Revize">
    <w:name w:val="Revision"/>
    <w:hidden/>
    <w:uiPriority w:val="99"/>
    <w:semiHidden/>
    <w:rsid w:val="00C70B80"/>
    <w:pPr>
      <w:spacing w:after="0" w:line="240" w:lineRule="auto"/>
    </w:pPr>
    <w:rPr>
      <w:rFonts w:ascii="Calibri" w:eastAsia="Times New Roman" w:hAnsi="Calibri" w:cs="Calibri"/>
      <w:color w:val="000000"/>
      <w:lang w:eastAsia="cs-CZ"/>
    </w:rPr>
  </w:style>
  <w:style w:type="character" w:styleId="Siln">
    <w:name w:val="Strong"/>
    <w:uiPriority w:val="22"/>
    <w:qFormat/>
    <w:rsid w:val="00C70B80"/>
    <w:rPr>
      <w:b/>
      <w:bCs/>
    </w:rPr>
  </w:style>
  <w:style w:type="paragraph" w:customStyle="1" w:styleId="FigureNote">
    <w:name w:val="Figure Note"/>
    <w:basedOn w:val="Normln"/>
    <w:link w:val="FigureNoteChar"/>
    <w:rsid w:val="00C70B80"/>
    <w:pPr>
      <w:tabs>
        <w:tab w:val="left" w:pos="850"/>
        <w:tab w:val="left" w:pos="1191"/>
        <w:tab w:val="left" w:pos="1531"/>
      </w:tabs>
      <w:spacing w:after="120" w:line="240" w:lineRule="auto"/>
      <w:jc w:val="both"/>
    </w:pPr>
    <w:rPr>
      <w:rFonts w:ascii="Arial" w:eastAsia="Times New Roman" w:hAnsi="Arial" w:cs="Times New Roman"/>
      <w:sz w:val="16"/>
      <w:szCs w:val="18"/>
      <w:lang w:val="en-GB" w:eastAsia="zh-CN"/>
    </w:rPr>
  </w:style>
  <w:style w:type="paragraph" w:customStyle="1" w:styleId="FigureSub-title">
    <w:name w:val="Figure Sub-title"/>
    <w:basedOn w:val="Normln"/>
    <w:link w:val="FigureSub-titleChar"/>
    <w:rsid w:val="00C70B80"/>
    <w:pPr>
      <w:keepNext/>
      <w:tabs>
        <w:tab w:val="left" w:pos="850"/>
        <w:tab w:val="left" w:pos="1191"/>
        <w:tab w:val="left" w:pos="1531"/>
      </w:tabs>
      <w:spacing w:after="120" w:line="240" w:lineRule="auto"/>
      <w:jc w:val="center"/>
    </w:pPr>
    <w:rPr>
      <w:rFonts w:ascii="Arial" w:eastAsia="Times New Roman" w:hAnsi="Arial" w:cs="Times New Roman"/>
      <w:sz w:val="18"/>
      <w:lang w:val="en-GB" w:eastAsia="zh-CN"/>
    </w:rPr>
  </w:style>
  <w:style w:type="paragraph" w:customStyle="1" w:styleId="FigureTitle">
    <w:name w:val="Figure Title"/>
    <w:basedOn w:val="Normln"/>
    <w:next w:val="FigureSub-title"/>
    <w:link w:val="FigureTitleChar"/>
    <w:rsid w:val="00C70B80"/>
    <w:pPr>
      <w:keepNext/>
      <w:tabs>
        <w:tab w:val="left" w:pos="850"/>
        <w:tab w:val="left" w:pos="1191"/>
        <w:tab w:val="left" w:pos="1531"/>
      </w:tabs>
      <w:spacing w:after="240" w:line="240" w:lineRule="auto"/>
      <w:jc w:val="center"/>
    </w:pPr>
    <w:rPr>
      <w:rFonts w:ascii="Arial" w:eastAsia="Times New Roman" w:hAnsi="Arial" w:cs="Times New Roman"/>
      <w:b/>
      <w:bCs/>
      <w:sz w:val="18"/>
      <w:lang w:val="en-GB" w:eastAsia="zh-CN"/>
    </w:rPr>
  </w:style>
  <w:style w:type="paragraph" w:customStyle="1" w:styleId="Graphic">
    <w:name w:val="Graphic"/>
    <w:basedOn w:val="Normln"/>
    <w:next w:val="Zkladntext"/>
    <w:link w:val="GraphicChar"/>
    <w:rsid w:val="00C70B80"/>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Num-DocParagraph">
    <w:name w:val="Num-Doc Paragraph"/>
    <w:basedOn w:val="Zkladntext"/>
    <w:rsid w:val="00C70B80"/>
    <w:pPr>
      <w:widowControl/>
      <w:tabs>
        <w:tab w:val="left" w:pos="850"/>
        <w:tab w:val="left" w:pos="1191"/>
        <w:tab w:val="left" w:pos="1531"/>
      </w:tabs>
      <w:overflowPunct/>
      <w:autoSpaceDE/>
      <w:autoSpaceDN/>
      <w:adjustRightInd/>
      <w:spacing w:after="240"/>
      <w:textAlignment w:val="auto"/>
    </w:pPr>
    <w:rPr>
      <w:sz w:val="22"/>
      <w:szCs w:val="22"/>
      <w:lang w:val="en-GB" w:eastAsia="zh-CN"/>
    </w:rPr>
  </w:style>
  <w:style w:type="paragraph" w:customStyle="1" w:styleId="SourceDescription">
    <w:name w:val="Source Description"/>
    <w:basedOn w:val="Normln"/>
    <w:next w:val="Zkladntext"/>
    <w:link w:val="SourceDescriptionChar"/>
    <w:rsid w:val="00C70B80"/>
    <w:pPr>
      <w:tabs>
        <w:tab w:val="left" w:pos="850"/>
        <w:tab w:val="left" w:pos="1191"/>
        <w:tab w:val="left" w:pos="1531"/>
      </w:tabs>
      <w:spacing w:after="360" w:line="240" w:lineRule="auto"/>
      <w:jc w:val="both"/>
    </w:pPr>
    <w:rPr>
      <w:rFonts w:ascii="Arial" w:eastAsia="Times New Roman" w:hAnsi="Arial" w:cs="Times New Roman"/>
      <w:sz w:val="16"/>
      <w:szCs w:val="18"/>
      <w:lang w:val="en-GB" w:eastAsia="zh-CN"/>
    </w:rPr>
  </w:style>
  <w:style w:type="numbering" w:customStyle="1" w:styleId="NumericNote">
    <w:name w:val="Numeric Note"/>
    <w:basedOn w:val="Bezseznamu"/>
    <w:rsid w:val="00C70B80"/>
    <w:pPr>
      <w:numPr>
        <w:numId w:val="9"/>
      </w:numPr>
    </w:pPr>
  </w:style>
  <w:style w:type="character" w:customStyle="1" w:styleId="SourceDescriptionChar">
    <w:name w:val="Source Description Char"/>
    <w:link w:val="SourceDescription"/>
    <w:rsid w:val="00C70B80"/>
    <w:rPr>
      <w:rFonts w:ascii="Arial" w:eastAsia="Times New Roman" w:hAnsi="Arial" w:cs="Times New Roman"/>
      <w:sz w:val="16"/>
      <w:szCs w:val="18"/>
      <w:lang w:val="en-GB" w:eastAsia="zh-CN"/>
    </w:rPr>
  </w:style>
  <w:style w:type="character" w:customStyle="1" w:styleId="FigureSub-titleChar">
    <w:name w:val="Figure Sub-title Char"/>
    <w:link w:val="FigureSub-title"/>
    <w:rsid w:val="00C70B80"/>
    <w:rPr>
      <w:rFonts w:ascii="Arial" w:eastAsia="Times New Roman" w:hAnsi="Arial" w:cs="Times New Roman"/>
      <w:sz w:val="18"/>
      <w:lang w:val="en-GB" w:eastAsia="zh-CN"/>
    </w:rPr>
  </w:style>
  <w:style w:type="character" w:customStyle="1" w:styleId="FigureNoteChar">
    <w:name w:val="Figure Note Char"/>
    <w:link w:val="FigureNote"/>
    <w:rsid w:val="00C70B80"/>
    <w:rPr>
      <w:rFonts w:ascii="Arial" w:eastAsia="Times New Roman" w:hAnsi="Arial" w:cs="Times New Roman"/>
      <w:sz w:val="16"/>
      <w:szCs w:val="18"/>
      <w:lang w:val="en-GB" w:eastAsia="zh-CN"/>
    </w:rPr>
  </w:style>
  <w:style w:type="character" w:customStyle="1" w:styleId="FigureTitleChar">
    <w:name w:val="Figure Title Char"/>
    <w:link w:val="FigureTitle"/>
    <w:rsid w:val="00C70B80"/>
    <w:rPr>
      <w:rFonts w:ascii="Arial" w:eastAsia="Times New Roman" w:hAnsi="Arial" w:cs="Times New Roman"/>
      <w:b/>
      <w:bCs/>
      <w:sz w:val="18"/>
      <w:lang w:val="en-GB" w:eastAsia="zh-CN"/>
    </w:rPr>
  </w:style>
  <w:style w:type="character" w:customStyle="1" w:styleId="GraphicChar">
    <w:name w:val="Graphic Char"/>
    <w:link w:val="Graphic"/>
    <w:rsid w:val="00C70B80"/>
    <w:rPr>
      <w:rFonts w:ascii="Times New Roman" w:eastAsia="Times New Roman" w:hAnsi="Times New Roman" w:cs="Times New Roman"/>
      <w:lang w:val="en-GB" w:eastAsia="zh-CN"/>
    </w:rPr>
  </w:style>
  <w:style w:type="paragraph" w:styleId="Rozloendokumentu">
    <w:name w:val="Document Map"/>
    <w:basedOn w:val="Normln"/>
    <w:link w:val="RozloendokumentuChar"/>
    <w:semiHidden/>
    <w:unhideWhenUsed/>
    <w:rsid w:val="00C70B80"/>
    <w:pPr>
      <w:autoSpaceDE w:val="0"/>
      <w:autoSpaceDN w:val="0"/>
      <w:adjustRightInd w:val="0"/>
      <w:spacing w:after="0" w:line="240" w:lineRule="auto"/>
      <w:jc w:val="both"/>
    </w:pPr>
    <w:rPr>
      <w:rFonts w:ascii="Tahoma" w:eastAsia="Times New Roman" w:hAnsi="Tahoma" w:cs="Times New Roman"/>
      <w:color w:val="000000"/>
      <w:sz w:val="16"/>
      <w:szCs w:val="16"/>
      <w:lang w:val="x-none" w:eastAsia="x-none"/>
    </w:rPr>
  </w:style>
  <w:style w:type="character" w:customStyle="1" w:styleId="RozloendokumentuChar">
    <w:name w:val="Rozložení dokumentu Char"/>
    <w:basedOn w:val="Standardnpsmoodstavce"/>
    <w:link w:val="Rozloendokumentu"/>
    <w:uiPriority w:val="99"/>
    <w:semiHidden/>
    <w:rsid w:val="00C70B80"/>
    <w:rPr>
      <w:rFonts w:ascii="Tahoma" w:eastAsia="Times New Roman" w:hAnsi="Tahoma" w:cs="Times New Roman"/>
      <w:color w:val="000000"/>
      <w:sz w:val="16"/>
      <w:szCs w:val="16"/>
      <w:lang w:val="x-none" w:eastAsia="x-none"/>
    </w:rPr>
  </w:style>
  <w:style w:type="character" w:customStyle="1" w:styleId="OdstavecseseznamemChar">
    <w:name w:val="Odstavec se seznamem Char"/>
    <w:aliases w:val="Conclusion de partie Char,List Paragraph Char"/>
    <w:link w:val="Odstavecseseznamem"/>
    <w:uiPriority w:val="34"/>
    <w:rsid w:val="00C70B80"/>
  </w:style>
  <w:style w:type="character" w:customStyle="1" w:styleId="st">
    <w:name w:val="st"/>
    <w:basedOn w:val="Standardnpsmoodstavce"/>
    <w:rsid w:val="00C70B80"/>
  </w:style>
  <w:style w:type="table" w:customStyle="1" w:styleId="Mkatabulky3">
    <w:name w:val="Mřížka tabulky3"/>
    <w:basedOn w:val="Normlntabulka"/>
    <w:next w:val="Mkatabulky"/>
    <w:uiPriority w:val="39"/>
    <w:rsid w:val="00C70B8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2">
    <w:name w:val="Základní text 22"/>
    <w:basedOn w:val="Normln"/>
    <w:rsid w:val="00C70B80"/>
    <w:pPr>
      <w:overflowPunct w:val="0"/>
      <w:autoSpaceDE w:val="0"/>
      <w:autoSpaceDN w:val="0"/>
      <w:adjustRightInd w:val="0"/>
      <w:spacing w:after="0" w:line="240" w:lineRule="auto"/>
      <w:ind w:left="851"/>
    </w:pPr>
    <w:rPr>
      <w:rFonts w:ascii="Times New Roman" w:eastAsia="Times New Roman" w:hAnsi="Times New Roman" w:cs="Times New Roman"/>
      <w:sz w:val="24"/>
      <w:szCs w:val="20"/>
      <w:lang w:eastAsia="cs-CZ"/>
    </w:rPr>
  </w:style>
  <w:style w:type="character" w:customStyle="1" w:styleId="ZkladntextChar1">
    <w:name w:val="Základní text Char1"/>
    <w:aliases w:val="bt Char1,text Char1,Body Text2 Char1"/>
    <w:uiPriority w:val="99"/>
    <w:semiHidden/>
    <w:rsid w:val="00C70B80"/>
    <w:rPr>
      <w:rFonts w:ascii="Calibri" w:hAnsi="Calibri" w:cs="Calibri"/>
      <w:color w:val="000000"/>
      <w:sz w:val="22"/>
      <w:szCs w:val="22"/>
    </w:rPr>
  </w:style>
  <w:style w:type="character" w:customStyle="1" w:styleId="Nadpis2Char1">
    <w:name w:val="Nadpis 2 Char1"/>
    <w:aliases w:val="h2 Char1,Nadpis 2 úroveň Char1"/>
    <w:uiPriority w:val="9"/>
    <w:semiHidden/>
    <w:rsid w:val="00C70B80"/>
    <w:rPr>
      <w:rFonts w:ascii="Cambria" w:eastAsia="SimSun" w:hAnsi="Cambria" w:cs="Times New Roman"/>
      <w:b/>
      <w:bCs/>
      <w:color w:val="4F81BD"/>
      <w:sz w:val="26"/>
      <w:szCs w:val="26"/>
    </w:rPr>
  </w:style>
  <w:style w:type="character" w:customStyle="1" w:styleId="Nadpis3Char1">
    <w:name w:val="Nadpis 3 Char1"/>
    <w:aliases w:val="Nadpis 3 úroveň Char1"/>
    <w:uiPriority w:val="9"/>
    <w:semiHidden/>
    <w:rsid w:val="00C70B80"/>
    <w:rPr>
      <w:rFonts w:ascii="Cambria" w:eastAsia="SimSun" w:hAnsi="Cambria" w:cs="Times New Roman"/>
      <w:b/>
      <w:bCs/>
      <w:color w:val="4F81BD"/>
      <w:sz w:val="22"/>
      <w:szCs w:val="22"/>
    </w:rPr>
  </w:style>
  <w:style w:type="paragraph" w:styleId="Obsah5">
    <w:name w:val="toc 5"/>
    <w:basedOn w:val="Normln"/>
    <w:next w:val="Normln"/>
    <w:autoRedefine/>
    <w:uiPriority w:val="39"/>
    <w:unhideWhenUsed/>
    <w:rsid w:val="00C70B80"/>
    <w:pPr>
      <w:spacing w:after="100"/>
      <w:ind w:left="880"/>
    </w:pPr>
    <w:rPr>
      <w:rFonts w:ascii="Calibri" w:eastAsia="SimSun" w:hAnsi="Calibri" w:cs="Times New Roman"/>
      <w:lang w:eastAsia="cs-CZ"/>
    </w:rPr>
  </w:style>
  <w:style w:type="paragraph" w:styleId="Obsah6">
    <w:name w:val="toc 6"/>
    <w:basedOn w:val="Normln"/>
    <w:next w:val="Normln"/>
    <w:autoRedefine/>
    <w:uiPriority w:val="39"/>
    <w:unhideWhenUsed/>
    <w:rsid w:val="00C70B80"/>
    <w:pPr>
      <w:spacing w:after="100"/>
      <w:ind w:left="1100"/>
    </w:pPr>
    <w:rPr>
      <w:rFonts w:ascii="Calibri" w:eastAsia="SimSun" w:hAnsi="Calibri" w:cs="Times New Roman"/>
      <w:lang w:eastAsia="cs-CZ"/>
    </w:rPr>
  </w:style>
  <w:style w:type="paragraph" w:styleId="Obsah7">
    <w:name w:val="toc 7"/>
    <w:basedOn w:val="Normln"/>
    <w:next w:val="Normln"/>
    <w:autoRedefine/>
    <w:uiPriority w:val="39"/>
    <w:unhideWhenUsed/>
    <w:rsid w:val="00C70B80"/>
    <w:pPr>
      <w:spacing w:after="100"/>
      <w:ind w:left="1320"/>
    </w:pPr>
    <w:rPr>
      <w:rFonts w:ascii="Calibri" w:eastAsia="SimSun" w:hAnsi="Calibri" w:cs="Times New Roman"/>
      <w:lang w:eastAsia="cs-CZ"/>
    </w:rPr>
  </w:style>
  <w:style w:type="paragraph" w:styleId="Obsah8">
    <w:name w:val="toc 8"/>
    <w:basedOn w:val="Normln"/>
    <w:next w:val="Normln"/>
    <w:autoRedefine/>
    <w:uiPriority w:val="39"/>
    <w:unhideWhenUsed/>
    <w:rsid w:val="00C70B80"/>
    <w:pPr>
      <w:spacing w:after="100"/>
      <w:ind w:left="1540"/>
    </w:pPr>
    <w:rPr>
      <w:rFonts w:ascii="Calibri" w:eastAsia="SimSun" w:hAnsi="Calibri" w:cs="Times New Roman"/>
      <w:lang w:eastAsia="cs-CZ"/>
    </w:rPr>
  </w:style>
  <w:style w:type="paragraph" w:styleId="Obsah9">
    <w:name w:val="toc 9"/>
    <w:basedOn w:val="Normln"/>
    <w:next w:val="Normln"/>
    <w:autoRedefine/>
    <w:uiPriority w:val="39"/>
    <w:unhideWhenUsed/>
    <w:rsid w:val="00C70B80"/>
    <w:pPr>
      <w:spacing w:after="100"/>
      <w:ind w:left="1760"/>
    </w:pPr>
    <w:rPr>
      <w:rFonts w:ascii="Calibri" w:eastAsia="SimSun" w:hAnsi="Calibri" w:cs="Times New Roman"/>
      <w:lang w:eastAsia="cs-CZ"/>
    </w:rPr>
  </w:style>
  <w:style w:type="paragraph" w:styleId="Textvysvtlivek">
    <w:name w:val="endnote text"/>
    <w:basedOn w:val="Normln"/>
    <w:link w:val="TextvysvtlivekChar"/>
    <w:uiPriority w:val="99"/>
    <w:semiHidden/>
    <w:unhideWhenUsed/>
    <w:rsid w:val="00C70B80"/>
    <w:pPr>
      <w:spacing w:after="0" w:line="240" w:lineRule="auto"/>
    </w:pPr>
    <w:rPr>
      <w:rFonts w:ascii="Times New Roman" w:eastAsia="MS Mincho" w:hAnsi="Times New Roman" w:cs="Times New Roman"/>
      <w:sz w:val="20"/>
      <w:szCs w:val="20"/>
      <w:lang w:val="x-none"/>
    </w:rPr>
  </w:style>
  <w:style w:type="character" w:customStyle="1" w:styleId="TextvysvtlivekChar">
    <w:name w:val="Text vysvětlivek Char"/>
    <w:basedOn w:val="Standardnpsmoodstavce"/>
    <w:link w:val="Textvysvtlivek"/>
    <w:uiPriority w:val="99"/>
    <w:semiHidden/>
    <w:rsid w:val="00C70B80"/>
    <w:rPr>
      <w:rFonts w:ascii="Times New Roman" w:eastAsia="MS Mincho" w:hAnsi="Times New Roman" w:cs="Times New Roman"/>
      <w:sz w:val="20"/>
      <w:szCs w:val="20"/>
      <w:lang w:val="x-none"/>
    </w:rPr>
  </w:style>
  <w:style w:type="paragraph" w:styleId="Seznamcitac">
    <w:name w:val="table of authorities"/>
    <w:basedOn w:val="Normln"/>
    <w:uiPriority w:val="99"/>
    <w:semiHidden/>
    <w:unhideWhenUsed/>
    <w:rsid w:val="00C70B80"/>
    <w:pPr>
      <w:tabs>
        <w:tab w:val="right" w:leader="dot" w:pos="8640"/>
      </w:tabs>
      <w:spacing w:after="240" w:line="240" w:lineRule="auto"/>
      <w:ind w:left="1134" w:hanging="1134"/>
      <w:jc w:val="both"/>
    </w:pPr>
    <w:rPr>
      <w:rFonts w:ascii="Courier New" w:eastAsia="Times New Roman" w:hAnsi="Courier New" w:cs="Times New Roman"/>
      <w:szCs w:val="20"/>
      <w:lang w:val="en-US" w:eastAsia="cs-CZ"/>
    </w:rPr>
  </w:style>
  <w:style w:type="paragraph" w:styleId="Nzev">
    <w:name w:val="Title"/>
    <w:basedOn w:val="Normln"/>
    <w:next w:val="Normln"/>
    <w:link w:val="NzevChar"/>
    <w:uiPriority w:val="99"/>
    <w:qFormat/>
    <w:rsid w:val="00C70B80"/>
    <w:pPr>
      <w:spacing w:before="100" w:beforeAutospacing="1" w:after="100" w:afterAutospacing="1" w:line="240" w:lineRule="auto"/>
    </w:pPr>
    <w:rPr>
      <w:rFonts w:ascii="Cambria" w:eastAsia="Times New Roman" w:hAnsi="Cambria" w:cs="Times New Roman"/>
      <w:smallCaps/>
      <w:color w:val="404040"/>
      <w:sz w:val="52"/>
      <w:szCs w:val="20"/>
      <w:lang w:val="en-US" w:eastAsia="x-none"/>
    </w:rPr>
  </w:style>
  <w:style w:type="character" w:customStyle="1" w:styleId="NzevChar">
    <w:name w:val="Název Char"/>
    <w:basedOn w:val="Standardnpsmoodstavce"/>
    <w:link w:val="Nzev"/>
    <w:uiPriority w:val="99"/>
    <w:rsid w:val="00C70B80"/>
    <w:rPr>
      <w:rFonts w:ascii="Cambria" w:eastAsia="Times New Roman" w:hAnsi="Cambria" w:cs="Times New Roman"/>
      <w:smallCaps/>
      <w:color w:val="404040"/>
      <w:sz w:val="52"/>
      <w:szCs w:val="20"/>
      <w:lang w:val="en-US" w:eastAsia="x-none"/>
    </w:rPr>
  </w:style>
  <w:style w:type="paragraph" w:styleId="Zkladntext2">
    <w:name w:val="Body Text 2"/>
    <w:basedOn w:val="Normln"/>
    <w:link w:val="Zkladntext2Char"/>
    <w:uiPriority w:val="99"/>
    <w:unhideWhenUsed/>
    <w:rsid w:val="00C70B80"/>
    <w:pPr>
      <w:spacing w:after="120" w:line="480" w:lineRule="auto"/>
    </w:pPr>
    <w:rPr>
      <w:rFonts w:ascii="Times New Roman" w:eastAsia="MS Mincho" w:hAnsi="Times New Roman" w:cs="Times New Roman"/>
      <w:sz w:val="24"/>
      <w:szCs w:val="24"/>
      <w:lang w:val="x-none"/>
    </w:rPr>
  </w:style>
  <w:style w:type="character" w:customStyle="1" w:styleId="Zkladntext2Char">
    <w:name w:val="Základní text 2 Char"/>
    <w:basedOn w:val="Standardnpsmoodstavce"/>
    <w:link w:val="Zkladntext2"/>
    <w:uiPriority w:val="99"/>
    <w:rsid w:val="00C70B80"/>
    <w:rPr>
      <w:rFonts w:ascii="Times New Roman" w:eastAsia="MS Mincho" w:hAnsi="Times New Roman" w:cs="Times New Roman"/>
      <w:sz w:val="24"/>
      <w:szCs w:val="24"/>
      <w:lang w:val="x-none"/>
    </w:rPr>
  </w:style>
  <w:style w:type="paragraph" w:styleId="Prosttext">
    <w:name w:val="Plain Text"/>
    <w:basedOn w:val="Normln"/>
    <w:link w:val="ProsttextChar"/>
    <w:uiPriority w:val="99"/>
    <w:semiHidden/>
    <w:unhideWhenUsed/>
    <w:rsid w:val="00C70B80"/>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semiHidden/>
    <w:rsid w:val="00C70B80"/>
    <w:rPr>
      <w:rFonts w:ascii="Courier New" w:eastAsia="Times New Roman" w:hAnsi="Courier New" w:cs="Times New Roman"/>
      <w:sz w:val="20"/>
      <w:szCs w:val="20"/>
      <w:lang w:val="x-none" w:eastAsia="x-none"/>
    </w:rPr>
  </w:style>
  <w:style w:type="paragraph" w:styleId="Citt">
    <w:name w:val="Quote"/>
    <w:basedOn w:val="Normln"/>
    <w:next w:val="Normln"/>
    <w:link w:val="CittChar"/>
    <w:uiPriority w:val="29"/>
    <w:qFormat/>
    <w:rsid w:val="00C70B80"/>
    <w:pPr>
      <w:spacing w:after="0" w:line="240" w:lineRule="auto"/>
    </w:pPr>
    <w:rPr>
      <w:rFonts w:ascii="Calibri" w:eastAsia="Calibri" w:hAnsi="Calibri" w:cs="Times New Roman"/>
      <w:i/>
      <w:sz w:val="24"/>
      <w:szCs w:val="24"/>
      <w:lang w:val="x-none"/>
    </w:rPr>
  </w:style>
  <w:style w:type="character" w:customStyle="1" w:styleId="CittChar">
    <w:name w:val="Citát Char"/>
    <w:basedOn w:val="Standardnpsmoodstavce"/>
    <w:link w:val="Citt"/>
    <w:uiPriority w:val="29"/>
    <w:rsid w:val="00C70B80"/>
    <w:rPr>
      <w:rFonts w:ascii="Calibri" w:eastAsia="Calibri" w:hAnsi="Calibri" w:cs="Times New Roman"/>
      <w:i/>
      <w:sz w:val="24"/>
      <w:szCs w:val="24"/>
      <w:lang w:val="x-none"/>
    </w:rPr>
  </w:style>
  <w:style w:type="character" w:customStyle="1" w:styleId="Styl1Char">
    <w:name w:val="Styl1 Char"/>
    <w:link w:val="Styl1"/>
    <w:locked/>
    <w:rsid w:val="00C70B80"/>
    <w:rPr>
      <w:rFonts w:ascii="Calibri" w:eastAsia="Calibri" w:hAnsi="Calibri" w:cs="Calibri"/>
      <w:caps/>
      <w:color w:val="004B8D"/>
      <w:sz w:val="40"/>
      <w:szCs w:val="40"/>
    </w:rPr>
  </w:style>
  <w:style w:type="paragraph" w:customStyle="1" w:styleId="Styl1">
    <w:name w:val="Styl1"/>
    <w:basedOn w:val="Odstavecseseznamem"/>
    <w:link w:val="Styl1Char"/>
    <w:qFormat/>
    <w:rsid w:val="00C70B80"/>
    <w:pPr>
      <w:numPr>
        <w:numId w:val="10"/>
      </w:numPr>
      <w:overflowPunct w:val="0"/>
      <w:autoSpaceDE w:val="0"/>
      <w:autoSpaceDN w:val="0"/>
      <w:adjustRightInd w:val="0"/>
      <w:spacing w:after="160" w:line="240" w:lineRule="auto"/>
      <w:jc w:val="both"/>
    </w:pPr>
    <w:rPr>
      <w:rFonts w:ascii="Calibri" w:eastAsia="Calibri" w:hAnsi="Calibri" w:cs="Calibri"/>
      <w:caps/>
      <w:color w:val="004B8D"/>
      <w:sz w:val="40"/>
      <w:szCs w:val="40"/>
    </w:rPr>
  </w:style>
  <w:style w:type="paragraph" w:customStyle="1" w:styleId="prvnistrana-pruzekvlevo">
    <w:name w:val="prvnistrana-pruzekvlevo"/>
    <w:basedOn w:val="Normln"/>
    <w:uiPriority w:val="99"/>
    <w:qFormat/>
    <w:rsid w:val="00C70B80"/>
    <w:pPr>
      <w:spacing w:after="0" w:line="240" w:lineRule="auto"/>
      <w:jc w:val="center"/>
    </w:pPr>
    <w:rPr>
      <w:rFonts w:ascii="Calibri" w:eastAsia="Calibri" w:hAnsi="Calibri" w:cs="Calibri"/>
      <w:b/>
      <w:color w:val="7F7F7F"/>
      <w:sz w:val="16"/>
      <w:szCs w:val="20"/>
      <w:lang w:val="en-US"/>
    </w:rPr>
  </w:style>
  <w:style w:type="paragraph" w:customStyle="1" w:styleId="prvnistrana-zapati">
    <w:name w:val="prvnistrana-zapati"/>
    <w:basedOn w:val="Zpat"/>
    <w:uiPriority w:val="99"/>
    <w:qFormat/>
    <w:rsid w:val="00C70B80"/>
    <w:pPr>
      <w:tabs>
        <w:tab w:val="clear" w:pos="4536"/>
        <w:tab w:val="clear" w:pos="9072"/>
      </w:tabs>
      <w:ind w:right="-1985"/>
      <w:jc w:val="both"/>
    </w:pPr>
    <w:rPr>
      <w:rFonts w:ascii="Verdana" w:eastAsia="Calibri" w:hAnsi="Verdana" w:cs="Calibri"/>
      <w:color w:val="7F7F7F"/>
      <w:sz w:val="16"/>
      <w:szCs w:val="20"/>
      <w:lang w:val="x-none"/>
    </w:rPr>
  </w:style>
  <w:style w:type="paragraph" w:customStyle="1" w:styleId="tabulka">
    <w:name w:val="tabulka"/>
    <w:basedOn w:val="Normln"/>
    <w:uiPriority w:val="99"/>
    <w:qFormat/>
    <w:rsid w:val="00C70B80"/>
    <w:pPr>
      <w:spacing w:after="0" w:line="240" w:lineRule="auto"/>
    </w:pPr>
    <w:rPr>
      <w:rFonts w:ascii="Calibri" w:eastAsia="Calibri" w:hAnsi="Calibri" w:cs="Calibri"/>
      <w:color w:val="000000"/>
      <w:lang w:val="en-US" w:eastAsia="cs-CZ"/>
    </w:rPr>
  </w:style>
  <w:style w:type="paragraph" w:customStyle="1" w:styleId="FreeForm">
    <w:name w:val="Free Form"/>
    <w:uiPriority w:val="99"/>
    <w:rsid w:val="00C70B80"/>
    <w:rPr>
      <w:rFonts w:ascii="Lucida Grande" w:eastAsia="ヒラギノ角ゴ Pro W3" w:hAnsi="Lucida Grande" w:cs="Times New Roman"/>
      <w:color w:val="000000"/>
      <w:szCs w:val="20"/>
      <w:lang w:val="en-US"/>
    </w:rPr>
  </w:style>
  <w:style w:type="paragraph" w:customStyle="1" w:styleId="Body">
    <w:name w:val="Body"/>
    <w:uiPriority w:val="99"/>
    <w:rsid w:val="00C70B80"/>
    <w:pPr>
      <w:spacing w:after="0" w:line="240" w:lineRule="auto"/>
    </w:pPr>
    <w:rPr>
      <w:rFonts w:ascii="Helvetica" w:eastAsia="ヒラギノ角ゴ Pro W3" w:hAnsi="Helvetica" w:cs="Times New Roman"/>
      <w:color w:val="000000"/>
      <w:sz w:val="24"/>
      <w:szCs w:val="20"/>
      <w:lang w:val="en-US"/>
    </w:rPr>
  </w:style>
  <w:style w:type="paragraph" w:customStyle="1" w:styleId="Podnzev">
    <w:name w:val="Podnázev"/>
    <w:basedOn w:val="Nzev"/>
    <w:uiPriority w:val="99"/>
    <w:qFormat/>
    <w:rsid w:val="00C70B80"/>
    <w:rPr>
      <w:rFonts w:eastAsia="ヒラギノ角ゴ Pro W3"/>
      <w:color w:val="595959"/>
      <w:sz w:val="40"/>
    </w:rPr>
  </w:style>
  <w:style w:type="character" w:customStyle="1" w:styleId="MainTextChar1">
    <w:name w:val="Main Text Char1"/>
    <w:link w:val="MainText"/>
    <w:locked/>
    <w:rsid w:val="00C70B80"/>
    <w:rPr>
      <w:rFonts w:ascii="Arial" w:eastAsia="MS Mincho" w:hAnsi="Arial" w:cs="Arial"/>
      <w:spacing w:val="10"/>
    </w:rPr>
  </w:style>
  <w:style w:type="paragraph" w:customStyle="1" w:styleId="MainText">
    <w:name w:val="Main Text"/>
    <w:basedOn w:val="Normln"/>
    <w:link w:val="MainTextChar1"/>
    <w:rsid w:val="00C70B80"/>
    <w:pPr>
      <w:spacing w:before="240" w:after="0" w:line="240" w:lineRule="auto"/>
      <w:jc w:val="both"/>
    </w:pPr>
    <w:rPr>
      <w:rFonts w:ascii="Arial" w:eastAsia="MS Mincho" w:hAnsi="Arial" w:cs="Arial"/>
      <w:spacing w:val="10"/>
    </w:rPr>
  </w:style>
  <w:style w:type="paragraph" w:customStyle="1" w:styleId="ClientName">
    <w:name w:val="Client Name"/>
    <w:basedOn w:val="Nadpis2"/>
    <w:uiPriority w:val="99"/>
    <w:rsid w:val="00C70B80"/>
    <w:pPr>
      <w:keepNext/>
      <w:numPr>
        <w:ilvl w:val="0"/>
        <w:numId w:val="0"/>
      </w:numPr>
      <w:tabs>
        <w:tab w:val="left" w:pos="1259"/>
      </w:tabs>
      <w:spacing w:after="0" w:line="240" w:lineRule="auto"/>
      <w:contextualSpacing w:val="0"/>
      <w:jc w:val="center"/>
    </w:pPr>
    <w:rPr>
      <w:rFonts w:ascii="Arial" w:eastAsia="MS Mincho" w:hAnsi="Arial" w:cs="Times New Roman"/>
      <w:bCs/>
      <w:caps/>
      <w:spacing w:val="10"/>
      <w:sz w:val="48"/>
      <w:szCs w:val="24"/>
      <w:lang w:val="x-none"/>
    </w:rPr>
  </w:style>
  <w:style w:type="paragraph" w:customStyle="1" w:styleId="FigureHeading">
    <w:name w:val="Figure Heading"/>
    <w:basedOn w:val="MainText"/>
    <w:next w:val="MainText"/>
    <w:uiPriority w:val="99"/>
    <w:rsid w:val="00C70B80"/>
    <w:pPr>
      <w:keepNext/>
      <w:spacing w:before="360" w:after="120"/>
      <w:ind w:left="720" w:hanging="360"/>
    </w:pPr>
    <w:rPr>
      <w:b/>
      <w:bCs/>
      <w:sz w:val="16"/>
    </w:rPr>
  </w:style>
  <w:style w:type="paragraph" w:customStyle="1" w:styleId="ProposalByDate">
    <w:name w:val="Proposal By/Date"/>
    <w:next w:val="Normln"/>
    <w:uiPriority w:val="99"/>
    <w:rsid w:val="00C70B80"/>
    <w:pPr>
      <w:spacing w:after="0" w:line="240" w:lineRule="auto"/>
      <w:jc w:val="center"/>
    </w:pPr>
    <w:rPr>
      <w:rFonts w:ascii="Arial" w:eastAsia="MS Mincho" w:hAnsi="Arial" w:cs="Arial"/>
      <w:b/>
      <w:bCs/>
      <w:caps/>
      <w:spacing w:val="10"/>
      <w:sz w:val="18"/>
      <w:szCs w:val="18"/>
    </w:rPr>
  </w:style>
  <w:style w:type="paragraph" w:customStyle="1" w:styleId="CompanyName">
    <w:name w:val="CompanyName"/>
    <w:basedOn w:val="Nzev"/>
    <w:next w:val="Nzev"/>
    <w:uiPriority w:val="99"/>
    <w:rsid w:val="00C70B80"/>
    <w:pPr>
      <w:keepNext/>
      <w:keepLines/>
      <w:spacing w:before="0" w:beforeAutospacing="0" w:after="0" w:afterAutospacing="0"/>
      <w:ind w:left="709" w:hanging="709"/>
      <w:jc w:val="center"/>
    </w:pPr>
    <w:rPr>
      <w:rFonts w:ascii="Arial" w:hAnsi="Arial"/>
      <w:b/>
      <w:caps/>
      <w:smallCaps w:val="0"/>
      <w:color w:val="auto"/>
      <w:sz w:val="24"/>
      <w:lang w:val="cs-CZ" w:eastAsia="en-GB"/>
    </w:rPr>
  </w:style>
  <w:style w:type="paragraph" w:customStyle="1" w:styleId="ENItalicText">
    <w:name w:val="EN Italic Text"/>
    <w:basedOn w:val="MainText"/>
    <w:uiPriority w:val="99"/>
    <w:rsid w:val="00C70B80"/>
    <w:rPr>
      <w:i/>
      <w:iCs/>
    </w:rPr>
  </w:style>
  <w:style w:type="paragraph" w:customStyle="1" w:styleId="ExecutiveSummary">
    <w:name w:val="Executive Summary"/>
    <w:basedOn w:val="Nadpis1"/>
    <w:next w:val="MainText"/>
    <w:uiPriority w:val="99"/>
    <w:rsid w:val="00C70B80"/>
    <w:pPr>
      <w:keepLines w:val="0"/>
      <w:pageBreakBefore/>
      <w:numPr>
        <w:numId w:val="0"/>
      </w:numPr>
      <w:spacing w:after="0" w:line="240" w:lineRule="auto"/>
      <w:jc w:val="both"/>
    </w:pPr>
    <w:rPr>
      <w:rFonts w:ascii="Arial" w:eastAsia="MS Mincho" w:hAnsi="Arial" w:cs="Times New Roman"/>
      <w:caps/>
      <w:spacing w:val="10"/>
      <w:sz w:val="24"/>
      <w:szCs w:val="24"/>
      <w:lang w:val="x-none"/>
    </w:rPr>
  </w:style>
  <w:style w:type="character" w:customStyle="1" w:styleId="TableHeadingCharChar">
    <w:name w:val="Table Heading Char Char"/>
    <w:link w:val="TableHeading"/>
    <w:locked/>
    <w:rsid w:val="00C70B80"/>
    <w:rPr>
      <w:rFonts w:ascii="Arial" w:eastAsia="CG Omega" w:hAnsi="Arial" w:cs="Arial"/>
      <w:b/>
      <w:bCs/>
      <w:spacing w:val="10"/>
      <w:sz w:val="16"/>
    </w:rPr>
  </w:style>
  <w:style w:type="paragraph" w:customStyle="1" w:styleId="TableHeading">
    <w:name w:val="Table Heading"/>
    <w:basedOn w:val="FigureHeading"/>
    <w:next w:val="MainText"/>
    <w:link w:val="TableHeadingCharChar"/>
    <w:autoRedefine/>
    <w:rsid w:val="00C70B80"/>
    <w:pPr>
      <w:numPr>
        <w:numId w:val="11"/>
      </w:numPr>
    </w:pPr>
    <w:rPr>
      <w:rFonts w:eastAsia="CG Omega"/>
    </w:rPr>
  </w:style>
  <w:style w:type="paragraph" w:customStyle="1" w:styleId="QualitySubtitles">
    <w:name w:val="Quality Subtitles"/>
    <w:basedOn w:val="Normln"/>
    <w:uiPriority w:val="99"/>
    <w:rsid w:val="00C70B80"/>
    <w:pPr>
      <w:numPr>
        <w:ilvl w:val="1"/>
        <w:numId w:val="12"/>
      </w:numPr>
      <w:spacing w:after="0" w:line="250" w:lineRule="exact"/>
      <w:ind w:left="0" w:firstLine="0"/>
    </w:pPr>
    <w:rPr>
      <w:rFonts w:ascii="Arial" w:eastAsia="MS Mincho" w:hAnsi="Arial" w:cs="Arial"/>
      <w:b/>
      <w:spacing w:val="10"/>
      <w:sz w:val="20"/>
      <w:szCs w:val="20"/>
    </w:rPr>
  </w:style>
  <w:style w:type="paragraph" w:customStyle="1" w:styleId="QualityText">
    <w:name w:val="Quality Text"/>
    <w:basedOn w:val="QualitySubtitles"/>
    <w:uiPriority w:val="99"/>
    <w:rsid w:val="00C70B80"/>
    <w:rPr>
      <w:b w:val="0"/>
    </w:rPr>
  </w:style>
  <w:style w:type="character" w:customStyle="1" w:styleId="BulletTextChar">
    <w:name w:val="Bullet Text Char"/>
    <w:link w:val="BulletText"/>
    <w:locked/>
    <w:rsid w:val="00C70B80"/>
    <w:rPr>
      <w:rFonts w:ascii="Arial" w:eastAsia="CG Omega" w:hAnsi="Arial" w:cs="Arial"/>
      <w:spacing w:val="10"/>
    </w:rPr>
  </w:style>
  <w:style w:type="paragraph" w:customStyle="1" w:styleId="BulletText">
    <w:name w:val="Bullet Text"/>
    <w:basedOn w:val="Normln"/>
    <w:link w:val="BulletTextChar"/>
    <w:rsid w:val="00C70B80"/>
    <w:pPr>
      <w:spacing w:before="120" w:after="0" w:line="240" w:lineRule="auto"/>
      <w:ind w:left="720" w:hanging="360"/>
    </w:pPr>
    <w:rPr>
      <w:rFonts w:ascii="Arial" w:eastAsia="CG Omega" w:hAnsi="Arial" w:cs="Arial"/>
      <w:spacing w:val="10"/>
    </w:rPr>
  </w:style>
  <w:style w:type="character" w:customStyle="1" w:styleId="TableTextChar1">
    <w:name w:val="Table Text Char1"/>
    <w:link w:val="TableText"/>
    <w:locked/>
    <w:rsid w:val="00C70B80"/>
    <w:rPr>
      <w:rFonts w:ascii="Arial" w:eastAsia="MS Mincho" w:hAnsi="Arial" w:cs="Arial"/>
      <w:sz w:val="18"/>
      <w:szCs w:val="18"/>
    </w:rPr>
  </w:style>
  <w:style w:type="paragraph" w:customStyle="1" w:styleId="TableText">
    <w:name w:val="Table Text"/>
    <w:basedOn w:val="Normln"/>
    <w:link w:val="TableTextChar1"/>
    <w:rsid w:val="00C70B80"/>
    <w:pPr>
      <w:spacing w:before="40" w:after="40" w:line="240" w:lineRule="auto"/>
      <w:ind w:left="17" w:right="17"/>
    </w:pPr>
    <w:rPr>
      <w:rFonts w:ascii="Arial" w:eastAsia="MS Mincho" w:hAnsi="Arial" w:cs="Arial"/>
      <w:sz w:val="18"/>
      <w:szCs w:val="18"/>
    </w:rPr>
  </w:style>
  <w:style w:type="paragraph" w:customStyle="1" w:styleId="AppendixNo">
    <w:name w:val="Appendix No."/>
    <w:next w:val="MainText"/>
    <w:uiPriority w:val="99"/>
    <w:rsid w:val="00C70B80"/>
    <w:pPr>
      <w:keepNext/>
      <w:pageBreakBefore/>
      <w:tabs>
        <w:tab w:val="left" w:pos="567"/>
      </w:tabs>
      <w:spacing w:after="0" w:line="240" w:lineRule="auto"/>
      <w:ind w:left="567" w:hanging="567"/>
    </w:pPr>
    <w:rPr>
      <w:rFonts w:ascii="Arial" w:eastAsia="MS Mincho" w:hAnsi="Arial" w:cs="Arial"/>
      <w:b/>
      <w:bCs/>
      <w:caps/>
      <w:spacing w:val="10"/>
      <w:sz w:val="24"/>
      <w:szCs w:val="24"/>
    </w:rPr>
  </w:style>
  <w:style w:type="character" w:customStyle="1" w:styleId="TableSourceChar">
    <w:name w:val="Table Source Char"/>
    <w:link w:val="TableSource"/>
    <w:locked/>
    <w:rsid w:val="00C70B80"/>
    <w:rPr>
      <w:rFonts w:ascii="Arial" w:eastAsia="MS Mincho" w:hAnsi="Arial" w:cs="Arial"/>
      <w:i/>
      <w:spacing w:val="10"/>
      <w:sz w:val="16"/>
      <w:szCs w:val="16"/>
    </w:rPr>
  </w:style>
  <w:style w:type="paragraph" w:customStyle="1" w:styleId="TableSource">
    <w:name w:val="Table Source"/>
    <w:basedOn w:val="MainText"/>
    <w:next w:val="MainText"/>
    <w:link w:val="TableSourceChar"/>
    <w:rsid w:val="00C70B80"/>
    <w:pPr>
      <w:spacing w:before="60"/>
    </w:pPr>
    <w:rPr>
      <w:i/>
      <w:sz w:val="16"/>
      <w:szCs w:val="16"/>
    </w:rPr>
  </w:style>
  <w:style w:type="paragraph" w:customStyle="1" w:styleId="NumberText">
    <w:name w:val="Number Text"/>
    <w:basedOn w:val="MainText"/>
    <w:uiPriority w:val="99"/>
    <w:rsid w:val="00C70B80"/>
    <w:pPr>
      <w:spacing w:before="120"/>
      <w:ind w:left="720" w:hanging="360"/>
    </w:pPr>
  </w:style>
  <w:style w:type="paragraph" w:customStyle="1" w:styleId="Texttabulky">
    <w:name w:val="Text tabulky"/>
    <w:basedOn w:val="Zkladntext"/>
    <w:autoRedefine/>
    <w:uiPriority w:val="99"/>
    <w:rsid w:val="00C70B80"/>
    <w:pPr>
      <w:widowControl/>
      <w:tabs>
        <w:tab w:val="left" w:pos="567"/>
      </w:tabs>
      <w:overflowPunct/>
      <w:autoSpaceDE/>
      <w:autoSpaceDN/>
      <w:adjustRightInd/>
      <w:spacing w:before="40" w:after="20"/>
      <w:jc w:val="left"/>
      <w:textAlignment w:val="auto"/>
    </w:pPr>
    <w:rPr>
      <w:rFonts w:ascii="Arial" w:hAnsi="Arial" w:cs="Arial"/>
      <w:sz w:val="18"/>
      <w:szCs w:val="18"/>
      <w:lang w:val="x-none" w:eastAsia="en-US"/>
    </w:rPr>
  </w:style>
  <w:style w:type="paragraph" w:customStyle="1" w:styleId="StylFigureHeadingVlevo0cmPedsazen124cm">
    <w:name w:val="Styl Figure Heading + Vlevo:  0 cm Předsazení:  124 cm"/>
    <w:basedOn w:val="FigureHeading"/>
    <w:uiPriority w:val="99"/>
    <w:rsid w:val="00C70B80"/>
    <w:pPr>
      <w:tabs>
        <w:tab w:val="left" w:pos="1701"/>
      </w:tabs>
      <w:ind w:left="765"/>
    </w:pPr>
    <w:rPr>
      <w:szCs w:val="16"/>
    </w:rPr>
  </w:style>
  <w:style w:type="paragraph" w:customStyle="1" w:styleId="Obrzek">
    <w:name w:val="Obrázek"/>
    <w:basedOn w:val="Zkladntext"/>
    <w:next w:val="Titulek"/>
    <w:uiPriority w:val="99"/>
    <w:rsid w:val="00C70B80"/>
    <w:pPr>
      <w:keepNext/>
      <w:widowControl/>
      <w:tabs>
        <w:tab w:val="left" w:pos="567"/>
      </w:tabs>
      <w:overflowPunct/>
      <w:autoSpaceDE/>
      <w:autoSpaceDN/>
      <w:adjustRightInd/>
      <w:textAlignment w:val="auto"/>
    </w:pPr>
    <w:rPr>
      <w:rFonts w:ascii="Arial" w:hAnsi="Arial" w:cs="Arial"/>
      <w:sz w:val="20"/>
      <w:lang w:val="x-none" w:eastAsia="en-US"/>
    </w:rPr>
  </w:style>
  <w:style w:type="paragraph" w:customStyle="1" w:styleId="Tabletext0">
    <w:name w:val="Table text"/>
    <w:basedOn w:val="Normln"/>
    <w:rsid w:val="00C70B80"/>
    <w:pPr>
      <w:spacing w:before="50" w:after="50" w:line="240" w:lineRule="auto"/>
    </w:pPr>
    <w:rPr>
      <w:rFonts w:ascii="Arial" w:eastAsia="Times New Roman" w:hAnsi="Arial" w:cs="Times New Roman"/>
      <w:sz w:val="20"/>
      <w:szCs w:val="24"/>
      <w:lang w:val="en-GB" w:eastAsia="cs-CZ"/>
    </w:rPr>
  </w:style>
  <w:style w:type="paragraph" w:customStyle="1" w:styleId="Zhlavtabulky">
    <w:name w:val="Záhlaví tabulky"/>
    <w:basedOn w:val="Texttabulky"/>
    <w:next w:val="Texttabulky"/>
    <w:uiPriority w:val="99"/>
    <w:rsid w:val="00C70B80"/>
    <w:pPr>
      <w:jc w:val="center"/>
    </w:pPr>
    <w:rPr>
      <w:b/>
      <w:bCs/>
      <w:noProof/>
    </w:rPr>
  </w:style>
  <w:style w:type="paragraph" w:customStyle="1" w:styleId="Textodstavce">
    <w:name w:val="Text odstavce"/>
    <w:basedOn w:val="Default"/>
    <w:next w:val="Default"/>
    <w:uiPriority w:val="99"/>
    <w:rsid w:val="00C70B80"/>
    <w:rPr>
      <w:rFonts w:ascii="Times New Roman" w:hAnsi="Times New Roman" w:cs="Times New Roman"/>
      <w:color w:val="auto"/>
    </w:rPr>
  </w:style>
  <w:style w:type="paragraph" w:customStyle="1" w:styleId="xl34">
    <w:name w:val="xl34"/>
    <w:basedOn w:val="Normln"/>
    <w:uiPriority w:val="99"/>
    <w:rsid w:val="00C70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cs-CZ"/>
    </w:rPr>
  </w:style>
  <w:style w:type="character" w:customStyle="1" w:styleId="nadpistvrtrovnChar">
    <w:name w:val="nadpis čtvrté úrovně Char"/>
    <w:link w:val="nadpistvrtrovn"/>
    <w:locked/>
    <w:rsid w:val="00C70B80"/>
    <w:rPr>
      <w:rFonts w:ascii="Arial" w:eastAsia="CG Omega" w:hAnsi="Arial" w:cs="MS Mincho"/>
      <w:b/>
      <w:bCs/>
      <w:i/>
    </w:rPr>
  </w:style>
  <w:style w:type="paragraph" w:customStyle="1" w:styleId="nadpistvrtrovn">
    <w:name w:val="nadpis čtvrté úrovně"/>
    <w:link w:val="nadpistvrtrovnChar"/>
    <w:qFormat/>
    <w:rsid w:val="00C70B80"/>
    <w:pPr>
      <w:numPr>
        <w:ilvl w:val="2"/>
        <w:numId w:val="13"/>
      </w:numPr>
      <w:spacing w:after="0" w:line="240" w:lineRule="auto"/>
      <w:jc w:val="both"/>
    </w:pPr>
    <w:rPr>
      <w:rFonts w:ascii="Arial" w:eastAsia="CG Omega" w:hAnsi="Arial" w:cs="MS Mincho"/>
      <w:b/>
      <w:bCs/>
      <w:i/>
    </w:rPr>
  </w:style>
  <w:style w:type="paragraph" w:customStyle="1" w:styleId="Rita">
    <w:name w:val="Rita"/>
    <w:basedOn w:val="Normln"/>
    <w:uiPriority w:val="99"/>
    <w:rsid w:val="00C70B80"/>
    <w:pPr>
      <w:numPr>
        <w:numId w:val="14"/>
      </w:numPr>
      <w:spacing w:after="0" w:line="240" w:lineRule="auto"/>
    </w:pPr>
    <w:rPr>
      <w:rFonts w:ascii="Times New Roman" w:eastAsia="Times New Roman" w:hAnsi="Times New Roman" w:cs="Times New Roman"/>
      <w:sz w:val="24"/>
      <w:szCs w:val="24"/>
      <w:lang w:val="en-GB" w:eastAsia="en-GB"/>
    </w:rPr>
  </w:style>
  <w:style w:type="character" w:customStyle="1" w:styleId="Styl2Char">
    <w:name w:val="Styl2 Char"/>
    <w:link w:val="Styl2"/>
    <w:locked/>
    <w:rsid w:val="00C70B80"/>
    <w:rPr>
      <w:rFonts w:ascii="Calibri" w:eastAsia="Calibri" w:hAnsi="Calibri" w:cs="Calibri"/>
      <w:b/>
      <w:caps/>
      <w:color w:val="1F497D"/>
      <w:sz w:val="30"/>
      <w:szCs w:val="28"/>
    </w:rPr>
  </w:style>
  <w:style w:type="paragraph" w:customStyle="1" w:styleId="Styl2">
    <w:name w:val="Styl2"/>
    <w:basedOn w:val="Styl1"/>
    <w:link w:val="Styl2Char"/>
    <w:qFormat/>
    <w:rsid w:val="00C70B80"/>
    <w:pPr>
      <w:numPr>
        <w:numId w:val="0"/>
      </w:numPr>
      <w:ind w:left="426"/>
      <w:outlineLvl w:val="0"/>
    </w:pPr>
    <w:rPr>
      <w:b/>
      <w:color w:val="1F497D"/>
      <w:sz w:val="30"/>
      <w:szCs w:val="28"/>
    </w:rPr>
  </w:style>
  <w:style w:type="character" w:customStyle="1" w:styleId="Styl3Char">
    <w:name w:val="Styl3 Char"/>
    <w:link w:val="Styl3"/>
    <w:locked/>
    <w:rsid w:val="00C70B80"/>
    <w:rPr>
      <w:rFonts w:ascii="Calibri" w:eastAsia="Calibri" w:hAnsi="Calibri" w:cs="Calibri"/>
      <w:b/>
      <w:caps/>
      <w:color w:val="1F497D"/>
      <w:sz w:val="28"/>
      <w:szCs w:val="28"/>
    </w:rPr>
  </w:style>
  <w:style w:type="paragraph" w:customStyle="1" w:styleId="Styl3">
    <w:name w:val="Styl3"/>
    <w:basedOn w:val="Styl1"/>
    <w:link w:val="Styl3Char"/>
    <w:qFormat/>
    <w:rsid w:val="00C70B80"/>
    <w:pPr>
      <w:numPr>
        <w:numId w:val="0"/>
      </w:numPr>
      <w:ind w:left="426"/>
      <w:outlineLvl w:val="0"/>
    </w:pPr>
    <w:rPr>
      <w:b/>
      <w:color w:val="1F497D"/>
      <w:sz w:val="28"/>
      <w:szCs w:val="28"/>
    </w:rPr>
  </w:style>
  <w:style w:type="character" w:customStyle="1" w:styleId="Styl4Char">
    <w:name w:val="Styl4 Char"/>
    <w:link w:val="Styl4"/>
    <w:locked/>
    <w:rsid w:val="00C70B80"/>
    <w:rPr>
      <w:rFonts w:ascii="Calibri" w:eastAsia="Calibri" w:hAnsi="Calibri" w:cs="Calibri"/>
      <w:caps/>
      <w:color w:val="1F497D"/>
      <w:sz w:val="26"/>
      <w:szCs w:val="26"/>
    </w:rPr>
  </w:style>
  <w:style w:type="paragraph" w:customStyle="1" w:styleId="Styl4">
    <w:name w:val="Styl4"/>
    <w:basedOn w:val="Styl1"/>
    <w:link w:val="Styl4Char"/>
    <w:qFormat/>
    <w:rsid w:val="00C70B80"/>
    <w:pPr>
      <w:numPr>
        <w:numId w:val="0"/>
      </w:numPr>
      <w:ind w:left="492"/>
      <w:outlineLvl w:val="0"/>
    </w:pPr>
    <w:rPr>
      <w:color w:val="1F497D"/>
      <w:sz w:val="26"/>
      <w:szCs w:val="26"/>
    </w:rPr>
  </w:style>
  <w:style w:type="character" w:styleId="Odkaznavysvtlivky">
    <w:name w:val="endnote reference"/>
    <w:semiHidden/>
    <w:unhideWhenUsed/>
    <w:rsid w:val="00C70B80"/>
    <w:rPr>
      <w:vertAlign w:val="superscript"/>
    </w:rPr>
  </w:style>
  <w:style w:type="character" w:customStyle="1" w:styleId="platne">
    <w:name w:val="platne"/>
    <w:basedOn w:val="Standardnpsmoodstavce"/>
    <w:rsid w:val="00C70B80"/>
  </w:style>
  <w:style w:type="character" w:customStyle="1" w:styleId="zahlavi">
    <w:name w:val="zahlavi"/>
    <w:rsid w:val="00C70B80"/>
  </w:style>
  <w:style w:type="table" w:customStyle="1" w:styleId="Mkatabulky1">
    <w:name w:val="Mřížka tabulky1"/>
    <w:basedOn w:val="Normlntabulka"/>
    <w:uiPriority w:val="59"/>
    <w:rsid w:val="00C70B8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C70B80"/>
    <w:pPr>
      <w:numPr>
        <w:numId w:val="14"/>
      </w:numPr>
      <w:tabs>
        <w:tab w:val="clear" w:pos="360"/>
      </w:tabs>
      <w:spacing w:after="0" w:line="240" w:lineRule="auto"/>
      <w:ind w:left="720"/>
    </w:pPr>
    <w:rPr>
      <w:rFonts w:ascii="Times New Roman" w:eastAsia="MS Mincho" w:hAnsi="Times New Roman" w:cs="Times New Roman"/>
      <w:sz w:val="20"/>
      <w:szCs w:val="20"/>
      <w:lang w:eastAsia="cs-CZ"/>
    </w:rPr>
    <w:tblP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uiPriority w:val="59"/>
    <w:rsid w:val="00C70B80"/>
    <w:pPr>
      <w:numPr>
        <w:numId w:val="14"/>
      </w:numPr>
      <w:tabs>
        <w:tab w:val="clear" w:pos="360"/>
      </w:tabs>
      <w:spacing w:after="0" w:line="240" w:lineRule="auto"/>
      <w:ind w:left="720"/>
    </w:pPr>
    <w:rPr>
      <w:rFonts w:ascii="Times New Roman" w:eastAsia="MS Mincho" w:hAnsi="Times New Roman" w:cs="Times New Roman"/>
      <w:sz w:val="20"/>
      <w:szCs w:val="20"/>
      <w:lang w:eastAsia="cs-CZ"/>
    </w:rPr>
    <w:tblP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CompanyName"/>
    <w:uiPriority w:val="99"/>
    <w:rsid w:val="00C70B80"/>
    <w:pPr>
      <w:spacing w:before="360"/>
      <w:ind w:left="0" w:firstLine="0"/>
    </w:pPr>
  </w:style>
  <w:style w:type="paragraph" w:customStyle="1" w:styleId="Appendices">
    <w:name w:val="Appendices"/>
    <w:basedOn w:val="AppendixNo"/>
    <w:next w:val="MainText"/>
    <w:uiPriority w:val="99"/>
    <w:rsid w:val="00C70B80"/>
    <w:pPr>
      <w:ind w:left="0" w:firstLine="0"/>
    </w:pPr>
    <w:rPr>
      <w:rFonts w:eastAsia="Times New Roman" w:cs="Times New Roman"/>
      <w:szCs w:val="20"/>
    </w:rPr>
  </w:style>
  <w:style w:type="character" w:customStyle="1" w:styleId="fn">
    <w:name w:val="fn"/>
    <w:basedOn w:val="Standardnpsmoodstavce"/>
    <w:rsid w:val="00C70B80"/>
  </w:style>
  <w:style w:type="character" w:customStyle="1" w:styleId="st1">
    <w:name w:val="st1"/>
    <w:basedOn w:val="Standardnpsmoodstavce"/>
    <w:rsid w:val="00C70B80"/>
  </w:style>
  <w:style w:type="paragraph" w:customStyle="1" w:styleId="Tableheading0">
    <w:name w:val="Table heading"/>
    <w:basedOn w:val="Normln"/>
    <w:rsid w:val="00C70B80"/>
    <w:pPr>
      <w:spacing w:before="120" w:after="120" w:line="240" w:lineRule="auto"/>
      <w:jc w:val="center"/>
    </w:pPr>
    <w:rPr>
      <w:rFonts w:ascii="Arial" w:eastAsia="Batang" w:hAnsi="Arial" w:cs="Arial"/>
      <w:b/>
      <w:bCs/>
      <w:lang w:eastAsia="ko-KR"/>
    </w:rPr>
  </w:style>
  <w:style w:type="paragraph" w:customStyle="1" w:styleId="Bullets">
    <w:name w:val="Bullets"/>
    <w:basedOn w:val="Normln"/>
    <w:rsid w:val="00C70B80"/>
    <w:pPr>
      <w:numPr>
        <w:numId w:val="15"/>
      </w:numPr>
      <w:spacing w:after="60" w:line="240" w:lineRule="auto"/>
      <w:jc w:val="both"/>
    </w:pPr>
    <w:rPr>
      <w:rFonts w:ascii="Arial" w:eastAsia="Batang" w:hAnsi="Arial" w:cs="Times New Roman"/>
      <w:sz w:val="20"/>
      <w:szCs w:val="24"/>
      <w:lang w:eastAsia="ko-KR"/>
    </w:rPr>
  </w:style>
  <w:style w:type="character" w:styleId="slostrnky">
    <w:name w:val="page number"/>
    <w:basedOn w:val="Standardnpsmoodstavce"/>
    <w:rsid w:val="00C70B80"/>
  </w:style>
  <w:style w:type="paragraph" w:customStyle="1" w:styleId="StyleHeading3Before0Hanging05Before0ptAfter">
    <w:name w:val="Style Heading 3 + Before:  0&quot; Hanging:  05&quot; Before:  0 pt After..."/>
    <w:basedOn w:val="Nadpis3"/>
    <w:rsid w:val="00C70B80"/>
    <w:pPr>
      <w:keepNext w:val="0"/>
      <w:keepLines w:val="0"/>
      <w:tabs>
        <w:tab w:val="num" w:pos="720"/>
      </w:tabs>
      <w:spacing w:before="0" w:line="240" w:lineRule="auto"/>
    </w:pPr>
    <w:rPr>
      <w:rFonts w:ascii="Arial" w:eastAsia="Batang" w:hAnsi="Arial" w:cs="Arial"/>
      <w:sz w:val="24"/>
      <w:szCs w:val="26"/>
      <w:lang w:val="x-none" w:eastAsia="ko-KR"/>
    </w:rPr>
  </w:style>
  <w:style w:type="paragraph" w:customStyle="1" w:styleId="Picture">
    <w:name w:val="Picture"/>
    <w:basedOn w:val="Normln"/>
    <w:rsid w:val="00C70B80"/>
    <w:pPr>
      <w:keepNext/>
      <w:spacing w:before="240" w:after="120" w:line="240" w:lineRule="auto"/>
      <w:jc w:val="both"/>
    </w:pPr>
    <w:rPr>
      <w:rFonts w:ascii="Arial" w:eastAsia="Batang" w:hAnsi="Arial" w:cs="Times New Roman"/>
      <w:sz w:val="20"/>
      <w:szCs w:val="24"/>
      <w:lang w:eastAsia="ko-KR"/>
    </w:rPr>
  </w:style>
  <w:style w:type="paragraph" w:customStyle="1" w:styleId="Bullets2">
    <w:name w:val="Bullets 2"/>
    <w:basedOn w:val="Bullets"/>
    <w:rsid w:val="00C70B80"/>
    <w:pPr>
      <w:numPr>
        <w:ilvl w:val="1"/>
      </w:numPr>
      <w:spacing w:after="40"/>
      <w:ind w:left="1434" w:hanging="357"/>
    </w:pPr>
  </w:style>
  <w:style w:type="paragraph" w:customStyle="1" w:styleId="Podnadpis">
    <w:name w:val="Podnadpis"/>
    <w:basedOn w:val="Normln"/>
    <w:rsid w:val="00C70B80"/>
    <w:pPr>
      <w:keepNext/>
      <w:spacing w:before="120" w:after="120" w:line="240" w:lineRule="auto"/>
      <w:jc w:val="both"/>
    </w:pPr>
    <w:rPr>
      <w:rFonts w:ascii="Arial" w:eastAsia="Batang" w:hAnsi="Arial" w:cs="Times New Roman"/>
      <w:b/>
      <w:bCs/>
      <w:i/>
      <w:iCs/>
      <w:sz w:val="20"/>
      <w:szCs w:val="24"/>
      <w:lang w:eastAsia="ko-KR"/>
    </w:rPr>
  </w:style>
  <w:style w:type="paragraph" w:customStyle="1" w:styleId="Tabulka0">
    <w:name w:val="Tabulka"/>
    <w:basedOn w:val="Normln"/>
    <w:rsid w:val="00C70B80"/>
    <w:pPr>
      <w:spacing w:before="40" w:after="40" w:line="240" w:lineRule="auto"/>
    </w:pPr>
    <w:rPr>
      <w:rFonts w:ascii="Arial" w:eastAsia="Batang" w:hAnsi="Arial" w:cs="Times New Roman"/>
      <w:sz w:val="20"/>
      <w:lang w:eastAsia="ko-KR"/>
    </w:rPr>
  </w:style>
  <w:style w:type="character" w:customStyle="1" w:styleId="normal1">
    <w:name w:val="normal1"/>
    <w:rsid w:val="00C70B80"/>
    <w:rPr>
      <w:b/>
      <w:sz w:val="24"/>
      <w:szCs w:val="18"/>
    </w:rPr>
  </w:style>
  <w:style w:type="paragraph" w:styleId="Podtitul">
    <w:name w:val="Subtitle"/>
    <w:basedOn w:val="Normln"/>
    <w:link w:val="PodtitulChar"/>
    <w:qFormat/>
    <w:rsid w:val="00C70B80"/>
    <w:pPr>
      <w:spacing w:after="0" w:line="240" w:lineRule="auto"/>
    </w:pPr>
    <w:rPr>
      <w:rFonts w:ascii="Times New Roman" w:eastAsia="Times New Roman" w:hAnsi="Times New Roman" w:cs="Times New Roman"/>
      <w:b/>
      <w:bCs/>
      <w:snapToGrid w:val="0"/>
      <w:sz w:val="28"/>
      <w:szCs w:val="28"/>
      <w:lang w:val="x-none"/>
    </w:rPr>
  </w:style>
  <w:style w:type="character" w:customStyle="1" w:styleId="PodtitulChar">
    <w:name w:val="Podtitul Char"/>
    <w:basedOn w:val="Standardnpsmoodstavce"/>
    <w:link w:val="Podtitul"/>
    <w:rsid w:val="00C70B80"/>
    <w:rPr>
      <w:rFonts w:ascii="Times New Roman" w:eastAsia="Times New Roman" w:hAnsi="Times New Roman" w:cs="Times New Roman"/>
      <w:b/>
      <w:bCs/>
      <w:snapToGrid w:val="0"/>
      <w:sz w:val="28"/>
      <w:szCs w:val="28"/>
      <w:lang w:val="x-none"/>
    </w:rPr>
  </w:style>
  <w:style w:type="paragraph" w:styleId="Zkladntextodsazen">
    <w:name w:val="Body Text Indent"/>
    <w:basedOn w:val="Normln"/>
    <w:link w:val="ZkladntextodsazenChar"/>
    <w:rsid w:val="00C70B80"/>
    <w:pPr>
      <w:spacing w:before="120" w:after="120" w:line="240" w:lineRule="auto"/>
      <w:ind w:left="283"/>
      <w:jc w:val="both"/>
    </w:pPr>
    <w:rPr>
      <w:rFonts w:ascii="Arial" w:eastAsia="Batang" w:hAnsi="Arial" w:cs="Times New Roman"/>
      <w:sz w:val="20"/>
      <w:szCs w:val="24"/>
      <w:lang w:val="x-none" w:eastAsia="ko-KR"/>
    </w:rPr>
  </w:style>
  <w:style w:type="character" w:customStyle="1" w:styleId="ZkladntextodsazenChar">
    <w:name w:val="Základní text odsazený Char"/>
    <w:basedOn w:val="Standardnpsmoodstavce"/>
    <w:link w:val="Zkladntextodsazen"/>
    <w:rsid w:val="00C70B80"/>
    <w:rPr>
      <w:rFonts w:ascii="Arial" w:eastAsia="Batang" w:hAnsi="Arial" w:cs="Times New Roman"/>
      <w:sz w:val="20"/>
      <w:szCs w:val="24"/>
      <w:lang w:val="x-none" w:eastAsia="ko-KR"/>
    </w:rPr>
  </w:style>
  <w:style w:type="paragraph" w:styleId="Zkladntext3">
    <w:name w:val="Body Text 3"/>
    <w:basedOn w:val="Normln"/>
    <w:link w:val="Zkladntext3Char"/>
    <w:rsid w:val="00C70B80"/>
    <w:pPr>
      <w:spacing w:before="120" w:after="120" w:line="240" w:lineRule="auto"/>
      <w:jc w:val="both"/>
    </w:pPr>
    <w:rPr>
      <w:rFonts w:ascii="Arial" w:eastAsia="Batang" w:hAnsi="Arial" w:cs="Times New Roman"/>
      <w:bCs/>
      <w:color w:val="FF0000"/>
      <w:sz w:val="20"/>
      <w:szCs w:val="24"/>
      <w:lang w:val="x-none" w:eastAsia="ko-KR"/>
    </w:rPr>
  </w:style>
  <w:style w:type="character" w:customStyle="1" w:styleId="Zkladntext3Char">
    <w:name w:val="Základní text 3 Char"/>
    <w:basedOn w:val="Standardnpsmoodstavce"/>
    <w:link w:val="Zkladntext3"/>
    <w:rsid w:val="00C70B80"/>
    <w:rPr>
      <w:rFonts w:ascii="Arial" w:eastAsia="Batang" w:hAnsi="Arial" w:cs="Times New Roman"/>
      <w:bCs/>
      <w:color w:val="FF0000"/>
      <w:sz w:val="20"/>
      <w:szCs w:val="24"/>
      <w:lang w:val="x-none" w:eastAsia="ko-KR"/>
    </w:rPr>
  </w:style>
  <w:style w:type="paragraph" w:styleId="Zkladntextodsazen2">
    <w:name w:val="Body Text Indent 2"/>
    <w:basedOn w:val="Normln"/>
    <w:link w:val="Zkladntextodsazen2Char"/>
    <w:rsid w:val="00C70B80"/>
    <w:pPr>
      <w:spacing w:before="120" w:after="120" w:line="240" w:lineRule="auto"/>
      <w:ind w:left="465"/>
      <w:jc w:val="both"/>
    </w:pPr>
    <w:rPr>
      <w:rFonts w:ascii="Arial" w:eastAsia="Batang" w:hAnsi="Arial" w:cs="Times New Roman"/>
      <w:sz w:val="20"/>
      <w:szCs w:val="20"/>
      <w:lang w:val="x-none" w:eastAsia="ko-KR"/>
    </w:rPr>
  </w:style>
  <w:style w:type="character" w:customStyle="1" w:styleId="Zkladntextodsazen2Char">
    <w:name w:val="Základní text odsazený 2 Char"/>
    <w:basedOn w:val="Standardnpsmoodstavce"/>
    <w:link w:val="Zkladntextodsazen2"/>
    <w:rsid w:val="00C70B80"/>
    <w:rPr>
      <w:rFonts w:ascii="Arial" w:eastAsia="Batang" w:hAnsi="Arial" w:cs="Times New Roman"/>
      <w:sz w:val="20"/>
      <w:szCs w:val="20"/>
      <w:lang w:val="x-none" w:eastAsia="ko-KR"/>
    </w:rPr>
  </w:style>
  <w:style w:type="paragraph" w:customStyle="1" w:styleId="Normal1odst2">
    <w:name w:val="Normal1odst2"/>
    <w:basedOn w:val="Normln"/>
    <w:rsid w:val="00C70B80"/>
    <w:pPr>
      <w:overflowPunct w:val="0"/>
      <w:autoSpaceDE w:val="0"/>
      <w:autoSpaceDN w:val="0"/>
      <w:adjustRightInd w:val="0"/>
      <w:spacing w:after="0" w:line="240" w:lineRule="auto"/>
      <w:ind w:left="737" w:right="-340"/>
      <w:jc w:val="both"/>
    </w:pPr>
    <w:rPr>
      <w:rFonts w:ascii="Arial" w:eastAsia="Times New Roman" w:hAnsi="Arial" w:cs="Arial"/>
      <w:lang w:eastAsia="cs-CZ"/>
    </w:rPr>
  </w:style>
  <w:style w:type="paragraph" w:customStyle="1" w:styleId="Odrka1">
    <w:name w:val="Odrážka 1"/>
    <w:next w:val="Normln"/>
    <w:link w:val="Odrka1Char"/>
    <w:rsid w:val="00C70B80"/>
    <w:pPr>
      <w:keepLines/>
      <w:widowControl w:val="0"/>
      <w:numPr>
        <w:numId w:val="16"/>
      </w:numPr>
      <w:tabs>
        <w:tab w:val="clear" w:pos="360"/>
      </w:tabs>
      <w:spacing w:before="60" w:after="0" w:line="240" w:lineRule="auto"/>
      <w:ind w:left="284" w:hanging="227"/>
    </w:pPr>
    <w:rPr>
      <w:rFonts w:ascii="Arial" w:eastAsia="Times New Roman" w:hAnsi="Arial" w:cs="Times New Roman"/>
      <w:snapToGrid w:val="0"/>
      <w:color w:val="000000"/>
      <w:sz w:val="20"/>
      <w:szCs w:val="20"/>
      <w:lang w:eastAsia="cs-CZ"/>
    </w:rPr>
  </w:style>
  <w:style w:type="character" w:customStyle="1" w:styleId="Odrka1Char">
    <w:name w:val="Odrážka 1 Char"/>
    <w:link w:val="Odrka1"/>
    <w:rsid w:val="00C70B80"/>
    <w:rPr>
      <w:rFonts w:ascii="Arial" w:eastAsia="Times New Roman" w:hAnsi="Arial" w:cs="Times New Roman"/>
      <w:snapToGrid w:val="0"/>
      <w:color w:val="000000"/>
      <w:sz w:val="20"/>
      <w:szCs w:val="20"/>
      <w:lang w:eastAsia="cs-CZ"/>
    </w:rPr>
  </w:style>
  <w:style w:type="table" w:styleId="Svtlstnovn">
    <w:name w:val="Light Shading"/>
    <w:basedOn w:val="Normlntabulka"/>
    <w:uiPriority w:val="60"/>
    <w:rsid w:val="00C70B80"/>
    <w:pPr>
      <w:spacing w:after="0" w:line="240" w:lineRule="auto"/>
    </w:pPr>
    <w:rPr>
      <w:rFonts w:ascii="Times New Roman" w:eastAsia="Batang"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dokumentu">
    <w:name w:val="Text dokumentu"/>
    <w:basedOn w:val="Normln"/>
    <w:link w:val="TextdokumentuChar"/>
    <w:locked/>
    <w:rsid w:val="00C70B80"/>
    <w:pPr>
      <w:overflowPunct w:val="0"/>
      <w:autoSpaceDE w:val="0"/>
      <w:autoSpaceDN w:val="0"/>
      <w:adjustRightInd w:val="0"/>
      <w:spacing w:before="120" w:after="120" w:line="240" w:lineRule="auto"/>
      <w:textAlignment w:val="baseline"/>
    </w:pPr>
    <w:rPr>
      <w:rFonts w:ascii="Arial" w:eastAsia="Times New Roman" w:hAnsi="Arial" w:cs="Times New Roman"/>
      <w:lang w:val="x-none" w:eastAsia="x-none"/>
    </w:rPr>
  </w:style>
  <w:style w:type="character" w:customStyle="1" w:styleId="TextdokumentuChar">
    <w:name w:val="Text dokumentu Char"/>
    <w:link w:val="Textdokumentu"/>
    <w:rsid w:val="00C70B80"/>
    <w:rPr>
      <w:rFonts w:ascii="Arial" w:eastAsia="Times New Roman" w:hAnsi="Arial" w:cs="Times New Roman"/>
      <w:lang w:val="x-none" w:eastAsia="x-none"/>
    </w:rPr>
  </w:style>
  <w:style w:type="paragraph" w:customStyle="1" w:styleId="Normln1">
    <w:name w:val="Normální1"/>
    <w:basedOn w:val="Normln"/>
    <w:rsid w:val="00C70B80"/>
    <w:pPr>
      <w:overflowPunct w:val="0"/>
      <w:autoSpaceDE w:val="0"/>
      <w:autoSpaceDN w:val="0"/>
      <w:adjustRightInd w:val="0"/>
      <w:spacing w:before="120" w:after="120" w:line="240" w:lineRule="auto"/>
      <w:ind w:left="851"/>
      <w:jc w:val="both"/>
      <w:textAlignment w:val="baseline"/>
    </w:pPr>
    <w:rPr>
      <w:rFonts w:ascii="Arial" w:eastAsia="Times New Roman" w:hAnsi="Arial" w:cs="Arial"/>
      <w:lang w:eastAsia="cs-CZ"/>
    </w:rPr>
  </w:style>
  <w:style w:type="table" w:styleId="Svtlseznam">
    <w:name w:val="Light List"/>
    <w:basedOn w:val="Normlntabulka"/>
    <w:uiPriority w:val="61"/>
    <w:rsid w:val="00C70B80"/>
    <w:pPr>
      <w:spacing w:after="0" w:line="240" w:lineRule="auto"/>
    </w:pPr>
    <w:rPr>
      <w:rFonts w:ascii="Times New Roman" w:eastAsia="Batang" w:hAnsi="Times New Roman" w:cs="Times New Roman"/>
      <w:sz w:val="20"/>
      <w:szCs w:val="20"/>
      <w:lang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ln"/>
    <w:rsid w:val="00C70B80"/>
    <w:pPr>
      <w:overflowPunct w:val="0"/>
      <w:autoSpaceDE w:val="0"/>
      <w:autoSpaceDN w:val="0"/>
      <w:adjustRightInd w:val="0"/>
      <w:spacing w:before="120" w:after="120" w:line="240" w:lineRule="auto"/>
      <w:ind w:left="851"/>
      <w:jc w:val="both"/>
      <w:textAlignment w:val="baseline"/>
    </w:pPr>
    <w:rPr>
      <w:rFonts w:ascii="Arial" w:eastAsia="Times New Roman" w:hAnsi="Arial" w:cs="Arial"/>
      <w:lang w:val="en-GB" w:eastAsia="cs-CZ"/>
    </w:rPr>
  </w:style>
  <w:style w:type="paragraph" w:customStyle="1" w:styleId="xmsonormal">
    <w:name w:val="x_msonormal"/>
    <w:basedOn w:val="Normln"/>
    <w:rsid w:val="00C70B8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M4">
    <w:name w:val="CM4"/>
    <w:basedOn w:val="Default"/>
    <w:next w:val="Default"/>
    <w:uiPriority w:val="99"/>
    <w:rsid w:val="00771447"/>
    <w:rPr>
      <w:rFonts w:ascii="EUAlbertina" w:hAnsi="EUAlbertina" w:cs="Times New Roman"/>
      <w:color w:val="auto"/>
    </w:rPr>
  </w:style>
  <w:style w:type="paragraph" w:customStyle="1" w:styleId="CM3">
    <w:name w:val="CM3"/>
    <w:basedOn w:val="Default"/>
    <w:next w:val="Default"/>
    <w:uiPriority w:val="99"/>
    <w:rsid w:val="00771447"/>
    <w:rPr>
      <w:rFonts w:ascii="EUAlbertina" w:hAnsi="EUAlbertina" w:cs="Times New Roman"/>
      <w:color w:val="auto"/>
    </w:rPr>
  </w:style>
  <w:style w:type="paragraph" w:customStyle="1" w:styleId="SP3274463">
    <w:name w:val="SP.3.274463"/>
    <w:basedOn w:val="Default"/>
    <w:next w:val="Default"/>
    <w:uiPriority w:val="99"/>
    <w:rsid w:val="00771447"/>
    <w:rPr>
      <w:rFonts w:ascii="Times Ten" w:hAnsi="Times Ten" w:cs="Times New Roman"/>
      <w:color w:val="auto"/>
    </w:rPr>
  </w:style>
  <w:style w:type="paragraph" w:customStyle="1" w:styleId="SP3274549">
    <w:name w:val="SP.3.274549"/>
    <w:basedOn w:val="Default"/>
    <w:next w:val="Default"/>
    <w:uiPriority w:val="99"/>
    <w:rsid w:val="00771447"/>
    <w:rPr>
      <w:rFonts w:ascii="Times Ten" w:hAnsi="Times Ten" w:cs="Times New Roman"/>
      <w:color w:val="auto"/>
    </w:rPr>
  </w:style>
  <w:style w:type="character" w:customStyle="1" w:styleId="SC3241730">
    <w:name w:val="SC.3.241730"/>
    <w:uiPriority w:val="99"/>
    <w:rsid w:val="00771447"/>
    <w:rPr>
      <w:rFonts w:cs="Times Ten"/>
      <w:color w:val="000000"/>
      <w:sz w:val="20"/>
      <w:szCs w:val="20"/>
    </w:rPr>
  </w:style>
  <w:style w:type="character" w:customStyle="1" w:styleId="SC3241709">
    <w:name w:val="SC.3.241709"/>
    <w:uiPriority w:val="99"/>
    <w:rsid w:val="00771447"/>
    <w:rPr>
      <w:rFonts w:cs="Times Ten"/>
      <w:color w:val="000000"/>
      <w:sz w:val="13"/>
      <w:szCs w:val="13"/>
    </w:rPr>
  </w:style>
  <w:style w:type="character" w:customStyle="1" w:styleId="normal2">
    <w:name w:val="normal2"/>
    <w:basedOn w:val="Standardnpsmoodstavce"/>
    <w:rsid w:val="00771447"/>
    <w:rPr>
      <w:b w:val="0"/>
      <w:bCs w:val="0"/>
      <w:color w:val="444444"/>
      <w:sz w:val="24"/>
      <w:szCs w:val="24"/>
    </w:rPr>
  </w:style>
  <w:style w:type="paragraph" w:styleId="Seznamsodrkami">
    <w:name w:val="List Bullet"/>
    <w:basedOn w:val="Normln"/>
    <w:semiHidden/>
    <w:unhideWhenUsed/>
    <w:rsid w:val="00C43F39"/>
    <w:pPr>
      <w:numPr>
        <w:numId w:val="90"/>
      </w:numPr>
      <w:tabs>
        <w:tab w:val="num" w:pos="283"/>
      </w:tabs>
      <w:spacing w:before="120" w:after="120" w:line="240" w:lineRule="auto"/>
      <w:ind w:left="283" w:hanging="283"/>
      <w:jc w:val="both"/>
    </w:pPr>
    <w:rPr>
      <w:rFonts w:ascii="Times New Roman" w:eastAsia="Times New Roman" w:hAnsi="Times New Roman" w:cs="Times New Roman"/>
      <w:noProof/>
      <w:sz w:val="24"/>
      <w:szCs w:val="24"/>
    </w:rPr>
  </w:style>
  <w:style w:type="character" w:styleId="Zdraznnjemn">
    <w:name w:val="Subtle Emphasis"/>
    <w:basedOn w:val="Standardnpsmoodstavce"/>
    <w:uiPriority w:val="19"/>
    <w:qFormat/>
    <w:rsid w:val="00A9339D"/>
    <w:rPr>
      <w:i/>
      <w:iCs/>
      <w:color w:val="808080" w:themeColor="text1" w:themeTint="7F"/>
    </w:rPr>
  </w:style>
  <w:style w:type="paragraph" w:customStyle="1" w:styleId="lanek5">
    <w:name w:val="članek 5"/>
    <w:basedOn w:val="Zkladntextodsazen"/>
    <w:rsid w:val="002F299A"/>
    <w:pPr>
      <w:spacing w:before="0" w:after="0"/>
      <w:ind w:left="480"/>
      <w:jc w:val="center"/>
    </w:pPr>
    <w:rPr>
      <w:rFonts w:ascii="Times New Roman" w:eastAsia="Times New Roman" w:hAnsi="Times New Roman"/>
      <w:b/>
      <w:bCs/>
      <w:sz w:val="28"/>
      <w:lang w:val="cs-CZ" w:eastAsia="cs-CZ"/>
    </w:rPr>
  </w:style>
  <w:style w:type="character" w:customStyle="1" w:styleId="OdstavecChar">
    <w:name w:val="Odstavec Char"/>
    <w:link w:val="Odstavec"/>
    <w:uiPriority w:val="99"/>
    <w:locked/>
    <w:rsid w:val="00432FE1"/>
    <w:rPr>
      <w:rFonts w:ascii="Calibri" w:hAnsi="Calibri"/>
      <w:sz w:val="24"/>
    </w:rPr>
  </w:style>
  <w:style w:type="paragraph" w:customStyle="1" w:styleId="Odstavec">
    <w:name w:val="Odstavec"/>
    <w:basedOn w:val="Normln"/>
    <w:link w:val="OdstavecChar"/>
    <w:uiPriority w:val="99"/>
    <w:qFormat/>
    <w:rsid w:val="00432FE1"/>
    <w:pPr>
      <w:spacing w:before="120" w:after="120" w:line="240" w:lineRule="auto"/>
      <w:ind w:firstLine="567"/>
      <w:jc w:val="both"/>
    </w:pPr>
    <w:rPr>
      <w:rFonts w:ascii="Calibri" w:hAnsi="Calibri"/>
      <w:sz w:val="24"/>
    </w:rPr>
  </w:style>
  <w:style w:type="character" w:customStyle="1" w:styleId="Tun">
    <w:name w:val="Tučné"/>
    <w:uiPriority w:val="99"/>
    <w:rsid w:val="00432FE1"/>
    <w:rPr>
      <w:b/>
      <w:bCs w:val="0"/>
    </w:rPr>
  </w:style>
  <w:style w:type="table" w:customStyle="1" w:styleId="Mkatabulky4">
    <w:name w:val="Mřížka tabulky4"/>
    <w:basedOn w:val="Normlntabulka"/>
    <w:next w:val="Mkatabulky"/>
    <w:uiPriority w:val="59"/>
    <w:rsid w:val="00502BF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9673">
      <w:bodyDiv w:val="1"/>
      <w:marLeft w:val="0"/>
      <w:marRight w:val="0"/>
      <w:marTop w:val="0"/>
      <w:marBottom w:val="0"/>
      <w:divBdr>
        <w:top w:val="none" w:sz="0" w:space="0" w:color="auto"/>
        <w:left w:val="none" w:sz="0" w:space="0" w:color="auto"/>
        <w:bottom w:val="none" w:sz="0" w:space="0" w:color="auto"/>
        <w:right w:val="none" w:sz="0" w:space="0" w:color="auto"/>
      </w:divBdr>
    </w:div>
    <w:div w:id="208804221">
      <w:bodyDiv w:val="1"/>
      <w:marLeft w:val="0"/>
      <w:marRight w:val="0"/>
      <w:marTop w:val="0"/>
      <w:marBottom w:val="0"/>
      <w:divBdr>
        <w:top w:val="none" w:sz="0" w:space="0" w:color="auto"/>
        <w:left w:val="none" w:sz="0" w:space="0" w:color="auto"/>
        <w:bottom w:val="none" w:sz="0" w:space="0" w:color="auto"/>
        <w:right w:val="none" w:sz="0" w:space="0" w:color="auto"/>
      </w:divBdr>
    </w:div>
    <w:div w:id="342900969">
      <w:bodyDiv w:val="1"/>
      <w:marLeft w:val="0"/>
      <w:marRight w:val="0"/>
      <w:marTop w:val="0"/>
      <w:marBottom w:val="0"/>
      <w:divBdr>
        <w:top w:val="none" w:sz="0" w:space="0" w:color="auto"/>
        <w:left w:val="none" w:sz="0" w:space="0" w:color="auto"/>
        <w:bottom w:val="none" w:sz="0" w:space="0" w:color="auto"/>
        <w:right w:val="none" w:sz="0" w:space="0" w:color="auto"/>
      </w:divBdr>
    </w:div>
    <w:div w:id="422603487">
      <w:bodyDiv w:val="1"/>
      <w:marLeft w:val="0"/>
      <w:marRight w:val="0"/>
      <w:marTop w:val="0"/>
      <w:marBottom w:val="0"/>
      <w:divBdr>
        <w:top w:val="none" w:sz="0" w:space="0" w:color="auto"/>
        <w:left w:val="none" w:sz="0" w:space="0" w:color="auto"/>
        <w:bottom w:val="none" w:sz="0" w:space="0" w:color="auto"/>
        <w:right w:val="none" w:sz="0" w:space="0" w:color="auto"/>
      </w:divBdr>
    </w:div>
    <w:div w:id="498079464">
      <w:bodyDiv w:val="1"/>
      <w:marLeft w:val="0"/>
      <w:marRight w:val="0"/>
      <w:marTop w:val="0"/>
      <w:marBottom w:val="0"/>
      <w:divBdr>
        <w:top w:val="none" w:sz="0" w:space="0" w:color="auto"/>
        <w:left w:val="none" w:sz="0" w:space="0" w:color="auto"/>
        <w:bottom w:val="none" w:sz="0" w:space="0" w:color="auto"/>
        <w:right w:val="none" w:sz="0" w:space="0" w:color="auto"/>
      </w:divBdr>
    </w:div>
    <w:div w:id="611714396">
      <w:bodyDiv w:val="1"/>
      <w:marLeft w:val="0"/>
      <w:marRight w:val="0"/>
      <w:marTop w:val="0"/>
      <w:marBottom w:val="0"/>
      <w:divBdr>
        <w:top w:val="none" w:sz="0" w:space="0" w:color="auto"/>
        <w:left w:val="none" w:sz="0" w:space="0" w:color="auto"/>
        <w:bottom w:val="none" w:sz="0" w:space="0" w:color="auto"/>
        <w:right w:val="none" w:sz="0" w:space="0" w:color="auto"/>
      </w:divBdr>
    </w:div>
    <w:div w:id="748426056">
      <w:bodyDiv w:val="1"/>
      <w:marLeft w:val="0"/>
      <w:marRight w:val="0"/>
      <w:marTop w:val="0"/>
      <w:marBottom w:val="0"/>
      <w:divBdr>
        <w:top w:val="none" w:sz="0" w:space="0" w:color="auto"/>
        <w:left w:val="none" w:sz="0" w:space="0" w:color="auto"/>
        <w:bottom w:val="none" w:sz="0" w:space="0" w:color="auto"/>
        <w:right w:val="none" w:sz="0" w:space="0" w:color="auto"/>
      </w:divBdr>
    </w:div>
    <w:div w:id="751704750">
      <w:bodyDiv w:val="1"/>
      <w:marLeft w:val="0"/>
      <w:marRight w:val="0"/>
      <w:marTop w:val="0"/>
      <w:marBottom w:val="0"/>
      <w:divBdr>
        <w:top w:val="none" w:sz="0" w:space="0" w:color="auto"/>
        <w:left w:val="none" w:sz="0" w:space="0" w:color="auto"/>
        <w:bottom w:val="none" w:sz="0" w:space="0" w:color="auto"/>
        <w:right w:val="none" w:sz="0" w:space="0" w:color="auto"/>
      </w:divBdr>
    </w:div>
    <w:div w:id="826048210">
      <w:bodyDiv w:val="1"/>
      <w:marLeft w:val="0"/>
      <w:marRight w:val="0"/>
      <w:marTop w:val="0"/>
      <w:marBottom w:val="0"/>
      <w:divBdr>
        <w:top w:val="none" w:sz="0" w:space="0" w:color="auto"/>
        <w:left w:val="none" w:sz="0" w:space="0" w:color="auto"/>
        <w:bottom w:val="none" w:sz="0" w:space="0" w:color="auto"/>
        <w:right w:val="none" w:sz="0" w:space="0" w:color="auto"/>
      </w:divBdr>
    </w:div>
    <w:div w:id="918514101">
      <w:bodyDiv w:val="1"/>
      <w:marLeft w:val="0"/>
      <w:marRight w:val="0"/>
      <w:marTop w:val="0"/>
      <w:marBottom w:val="0"/>
      <w:divBdr>
        <w:top w:val="none" w:sz="0" w:space="0" w:color="auto"/>
        <w:left w:val="none" w:sz="0" w:space="0" w:color="auto"/>
        <w:bottom w:val="none" w:sz="0" w:space="0" w:color="auto"/>
        <w:right w:val="none" w:sz="0" w:space="0" w:color="auto"/>
      </w:divBdr>
    </w:div>
    <w:div w:id="1017198663">
      <w:bodyDiv w:val="1"/>
      <w:marLeft w:val="0"/>
      <w:marRight w:val="0"/>
      <w:marTop w:val="0"/>
      <w:marBottom w:val="0"/>
      <w:divBdr>
        <w:top w:val="none" w:sz="0" w:space="0" w:color="auto"/>
        <w:left w:val="none" w:sz="0" w:space="0" w:color="auto"/>
        <w:bottom w:val="none" w:sz="0" w:space="0" w:color="auto"/>
        <w:right w:val="none" w:sz="0" w:space="0" w:color="auto"/>
      </w:divBdr>
    </w:div>
    <w:div w:id="1077090063">
      <w:bodyDiv w:val="1"/>
      <w:marLeft w:val="0"/>
      <w:marRight w:val="0"/>
      <w:marTop w:val="0"/>
      <w:marBottom w:val="0"/>
      <w:divBdr>
        <w:top w:val="none" w:sz="0" w:space="0" w:color="auto"/>
        <w:left w:val="none" w:sz="0" w:space="0" w:color="auto"/>
        <w:bottom w:val="none" w:sz="0" w:space="0" w:color="auto"/>
        <w:right w:val="none" w:sz="0" w:space="0" w:color="auto"/>
      </w:divBdr>
    </w:div>
    <w:div w:id="1151604384">
      <w:bodyDiv w:val="1"/>
      <w:marLeft w:val="0"/>
      <w:marRight w:val="0"/>
      <w:marTop w:val="0"/>
      <w:marBottom w:val="0"/>
      <w:divBdr>
        <w:top w:val="none" w:sz="0" w:space="0" w:color="auto"/>
        <w:left w:val="none" w:sz="0" w:space="0" w:color="auto"/>
        <w:bottom w:val="none" w:sz="0" w:space="0" w:color="auto"/>
        <w:right w:val="none" w:sz="0" w:space="0" w:color="auto"/>
      </w:divBdr>
    </w:div>
    <w:div w:id="1155419044">
      <w:bodyDiv w:val="1"/>
      <w:marLeft w:val="0"/>
      <w:marRight w:val="0"/>
      <w:marTop w:val="0"/>
      <w:marBottom w:val="0"/>
      <w:divBdr>
        <w:top w:val="none" w:sz="0" w:space="0" w:color="auto"/>
        <w:left w:val="none" w:sz="0" w:space="0" w:color="auto"/>
        <w:bottom w:val="none" w:sz="0" w:space="0" w:color="auto"/>
        <w:right w:val="none" w:sz="0" w:space="0" w:color="auto"/>
      </w:divBdr>
    </w:div>
    <w:div w:id="1237400965">
      <w:bodyDiv w:val="1"/>
      <w:marLeft w:val="0"/>
      <w:marRight w:val="0"/>
      <w:marTop w:val="0"/>
      <w:marBottom w:val="0"/>
      <w:divBdr>
        <w:top w:val="none" w:sz="0" w:space="0" w:color="auto"/>
        <w:left w:val="none" w:sz="0" w:space="0" w:color="auto"/>
        <w:bottom w:val="none" w:sz="0" w:space="0" w:color="auto"/>
        <w:right w:val="none" w:sz="0" w:space="0" w:color="auto"/>
      </w:divBdr>
    </w:div>
    <w:div w:id="1263486940">
      <w:bodyDiv w:val="1"/>
      <w:marLeft w:val="0"/>
      <w:marRight w:val="0"/>
      <w:marTop w:val="0"/>
      <w:marBottom w:val="0"/>
      <w:divBdr>
        <w:top w:val="none" w:sz="0" w:space="0" w:color="auto"/>
        <w:left w:val="none" w:sz="0" w:space="0" w:color="auto"/>
        <w:bottom w:val="none" w:sz="0" w:space="0" w:color="auto"/>
        <w:right w:val="none" w:sz="0" w:space="0" w:color="auto"/>
      </w:divBdr>
    </w:div>
    <w:div w:id="1290084645">
      <w:bodyDiv w:val="1"/>
      <w:marLeft w:val="0"/>
      <w:marRight w:val="0"/>
      <w:marTop w:val="0"/>
      <w:marBottom w:val="0"/>
      <w:divBdr>
        <w:top w:val="none" w:sz="0" w:space="0" w:color="auto"/>
        <w:left w:val="none" w:sz="0" w:space="0" w:color="auto"/>
        <w:bottom w:val="none" w:sz="0" w:space="0" w:color="auto"/>
        <w:right w:val="none" w:sz="0" w:space="0" w:color="auto"/>
      </w:divBdr>
    </w:div>
    <w:div w:id="1341077610">
      <w:bodyDiv w:val="1"/>
      <w:marLeft w:val="0"/>
      <w:marRight w:val="0"/>
      <w:marTop w:val="0"/>
      <w:marBottom w:val="0"/>
      <w:divBdr>
        <w:top w:val="none" w:sz="0" w:space="0" w:color="auto"/>
        <w:left w:val="none" w:sz="0" w:space="0" w:color="auto"/>
        <w:bottom w:val="none" w:sz="0" w:space="0" w:color="auto"/>
        <w:right w:val="none" w:sz="0" w:space="0" w:color="auto"/>
      </w:divBdr>
    </w:div>
    <w:div w:id="1414738019">
      <w:bodyDiv w:val="1"/>
      <w:marLeft w:val="0"/>
      <w:marRight w:val="0"/>
      <w:marTop w:val="0"/>
      <w:marBottom w:val="0"/>
      <w:divBdr>
        <w:top w:val="none" w:sz="0" w:space="0" w:color="auto"/>
        <w:left w:val="none" w:sz="0" w:space="0" w:color="auto"/>
        <w:bottom w:val="none" w:sz="0" w:space="0" w:color="auto"/>
        <w:right w:val="none" w:sz="0" w:space="0" w:color="auto"/>
      </w:divBdr>
    </w:div>
    <w:div w:id="1498380416">
      <w:bodyDiv w:val="1"/>
      <w:marLeft w:val="0"/>
      <w:marRight w:val="0"/>
      <w:marTop w:val="0"/>
      <w:marBottom w:val="0"/>
      <w:divBdr>
        <w:top w:val="none" w:sz="0" w:space="0" w:color="auto"/>
        <w:left w:val="none" w:sz="0" w:space="0" w:color="auto"/>
        <w:bottom w:val="none" w:sz="0" w:space="0" w:color="auto"/>
        <w:right w:val="none" w:sz="0" w:space="0" w:color="auto"/>
      </w:divBdr>
    </w:div>
    <w:div w:id="1519536820">
      <w:bodyDiv w:val="1"/>
      <w:marLeft w:val="0"/>
      <w:marRight w:val="0"/>
      <w:marTop w:val="0"/>
      <w:marBottom w:val="0"/>
      <w:divBdr>
        <w:top w:val="none" w:sz="0" w:space="0" w:color="auto"/>
        <w:left w:val="none" w:sz="0" w:space="0" w:color="auto"/>
        <w:bottom w:val="none" w:sz="0" w:space="0" w:color="auto"/>
        <w:right w:val="none" w:sz="0" w:space="0" w:color="auto"/>
      </w:divBdr>
    </w:div>
    <w:div w:id="1530679762">
      <w:bodyDiv w:val="1"/>
      <w:marLeft w:val="0"/>
      <w:marRight w:val="0"/>
      <w:marTop w:val="0"/>
      <w:marBottom w:val="0"/>
      <w:divBdr>
        <w:top w:val="none" w:sz="0" w:space="0" w:color="auto"/>
        <w:left w:val="none" w:sz="0" w:space="0" w:color="auto"/>
        <w:bottom w:val="none" w:sz="0" w:space="0" w:color="auto"/>
        <w:right w:val="none" w:sz="0" w:space="0" w:color="auto"/>
      </w:divBdr>
    </w:div>
    <w:div w:id="1598829896">
      <w:bodyDiv w:val="1"/>
      <w:marLeft w:val="0"/>
      <w:marRight w:val="0"/>
      <w:marTop w:val="0"/>
      <w:marBottom w:val="0"/>
      <w:divBdr>
        <w:top w:val="none" w:sz="0" w:space="0" w:color="auto"/>
        <w:left w:val="none" w:sz="0" w:space="0" w:color="auto"/>
        <w:bottom w:val="none" w:sz="0" w:space="0" w:color="auto"/>
        <w:right w:val="none" w:sz="0" w:space="0" w:color="auto"/>
      </w:divBdr>
    </w:div>
    <w:div w:id="1715809044">
      <w:bodyDiv w:val="1"/>
      <w:marLeft w:val="0"/>
      <w:marRight w:val="0"/>
      <w:marTop w:val="0"/>
      <w:marBottom w:val="0"/>
      <w:divBdr>
        <w:top w:val="none" w:sz="0" w:space="0" w:color="auto"/>
        <w:left w:val="none" w:sz="0" w:space="0" w:color="auto"/>
        <w:bottom w:val="none" w:sz="0" w:space="0" w:color="auto"/>
        <w:right w:val="none" w:sz="0" w:space="0" w:color="auto"/>
      </w:divBdr>
    </w:div>
    <w:div w:id="1755544952">
      <w:bodyDiv w:val="1"/>
      <w:marLeft w:val="0"/>
      <w:marRight w:val="0"/>
      <w:marTop w:val="0"/>
      <w:marBottom w:val="0"/>
      <w:divBdr>
        <w:top w:val="none" w:sz="0" w:space="0" w:color="auto"/>
        <w:left w:val="none" w:sz="0" w:space="0" w:color="auto"/>
        <w:bottom w:val="none" w:sz="0" w:space="0" w:color="auto"/>
        <w:right w:val="none" w:sz="0" w:space="0" w:color="auto"/>
      </w:divBdr>
    </w:div>
    <w:div w:id="1790932355">
      <w:bodyDiv w:val="1"/>
      <w:marLeft w:val="0"/>
      <w:marRight w:val="0"/>
      <w:marTop w:val="0"/>
      <w:marBottom w:val="0"/>
      <w:divBdr>
        <w:top w:val="none" w:sz="0" w:space="0" w:color="auto"/>
        <w:left w:val="none" w:sz="0" w:space="0" w:color="auto"/>
        <w:bottom w:val="none" w:sz="0" w:space="0" w:color="auto"/>
        <w:right w:val="none" w:sz="0" w:space="0" w:color="auto"/>
      </w:divBdr>
    </w:div>
    <w:div w:id="1796093833">
      <w:bodyDiv w:val="1"/>
      <w:marLeft w:val="0"/>
      <w:marRight w:val="0"/>
      <w:marTop w:val="0"/>
      <w:marBottom w:val="0"/>
      <w:divBdr>
        <w:top w:val="none" w:sz="0" w:space="0" w:color="auto"/>
        <w:left w:val="none" w:sz="0" w:space="0" w:color="auto"/>
        <w:bottom w:val="none" w:sz="0" w:space="0" w:color="auto"/>
        <w:right w:val="none" w:sz="0" w:space="0" w:color="auto"/>
      </w:divBdr>
    </w:div>
    <w:div w:id="1834758211">
      <w:bodyDiv w:val="1"/>
      <w:marLeft w:val="0"/>
      <w:marRight w:val="0"/>
      <w:marTop w:val="0"/>
      <w:marBottom w:val="0"/>
      <w:divBdr>
        <w:top w:val="none" w:sz="0" w:space="0" w:color="auto"/>
        <w:left w:val="none" w:sz="0" w:space="0" w:color="auto"/>
        <w:bottom w:val="none" w:sz="0" w:space="0" w:color="auto"/>
        <w:right w:val="none" w:sz="0" w:space="0" w:color="auto"/>
      </w:divBdr>
    </w:div>
    <w:div w:id="1886134934">
      <w:bodyDiv w:val="1"/>
      <w:marLeft w:val="0"/>
      <w:marRight w:val="0"/>
      <w:marTop w:val="0"/>
      <w:marBottom w:val="0"/>
      <w:divBdr>
        <w:top w:val="none" w:sz="0" w:space="0" w:color="auto"/>
        <w:left w:val="none" w:sz="0" w:space="0" w:color="auto"/>
        <w:bottom w:val="none" w:sz="0" w:space="0" w:color="auto"/>
        <w:right w:val="none" w:sz="0" w:space="0" w:color="auto"/>
      </w:divBdr>
    </w:div>
    <w:div w:id="1889685225">
      <w:bodyDiv w:val="1"/>
      <w:marLeft w:val="0"/>
      <w:marRight w:val="0"/>
      <w:marTop w:val="0"/>
      <w:marBottom w:val="0"/>
      <w:divBdr>
        <w:top w:val="none" w:sz="0" w:space="0" w:color="auto"/>
        <w:left w:val="none" w:sz="0" w:space="0" w:color="auto"/>
        <w:bottom w:val="none" w:sz="0" w:space="0" w:color="auto"/>
        <w:right w:val="none" w:sz="0" w:space="0" w:color="auto"/>
      </w:divBdr>
    </w:div>
    <w:div w:id="1913587766">
      <w:bodyDiv w:val="1"/>
      <w:marLeft w:val="0"/>
      <w:marRight w:val="0"/>
      <w:marTop w:val="0"/>
      <w:marBottom w:val="0"/>
      <w:divBdr>
        <w:top w:val="none" w:sz="0" w:space="0" w:color="auto"/>
        <w:left w:val="none" w:sz="0" w:space="0" w:color="auto"/>
        <w:bottom w:val="none" w:sz="0" w:space="0" w:color="auto"/>
        <w:right w:val="none" w:sz="0" w:space="0" w:color="auto"/>
      </w:divBdr>
    </w:div>
    <w:div w:id="1922835469">
      <w:bodyDiv w:val="1"/>
      <w:marLeft w:val="0"/>
      <w:marRight w:val="0"/>
      <w:marTop w:val="0"/>
      <w:marBottom w:val="0"/>
      <w:divBdr>
        <w:top w:val="none" w:sz="0" w:space="0" w:color="auto"/>
        <w:left w:val="none" w:sz="0" w:space="0" w:color="auto"/>
        <w:bottom w:val="none" w:sz="0" w:space="0" w:color="auto"/>
        <w:right w:val="none" w:sz="0" w:space="0" w:color="auto"/>
      </w:divBdr>
    </w:div>
    <w:div w:id="20482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chart" Target="charts/chart2.xml"/><Relationship Id="rId25" Type="http://schemas.openxmlformats.org/officeDocument/2006/relationships/image" Target="cid:image004.png@01CFE895.5E3CAE80"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patria.cz/kurzy/online/me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ola.iaea.org/ola/CSCND/Calculate.asp" TargetMode="External"/><Relationship Id="rId23" Type="http://schemas.openxmlformats.org/officeDocument/2006/relationships/image" Target="cid:image002.png@01CFE895.5E3CAE8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patria.cz/kurzy/online/meny.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9.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nea.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ernyvik\AppData\Local\Microsoft\Windows\Temporary%20Internet%20Files\Content.Outlook\H2EDUOGK\PI_WANO2013.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637768733566176E-2"/>
          <c:y val="0.10917053845382961"/>
          <c:w val="0.80477266047223495"/>
          <c:h val="0.71179191071896897"/>
        </c:manualLayout>
      </c:layout>
      <c:barChart>
        <c:barDir val="col"/>
        <c:grouping val="clustered"/>
        <c:varyColors val="0"/>
        <c:ser>
          <c:idx val="1"/>
          <c:order val="0"/>
          <c:tx>
            <c:strRef>
              <c:f>'PI_rok 2013'!$B$22</c:f>
              <c:strCache>
                <c:ptCount val="1"/>
                <c:pt idx="0">
                  <c:v>EDU (průměr)</c:v>
                </c:pt>
              </c:strCache>
            </c:strRef>
          </c:tx>
          <c:spPr>
            <a:solidFill>
              <a:srgbClr val="802060"/>
            </a:solidFill>
            <a:ln w="12700">
              <a:solidFill>
                <a:srgbClr val="000000"/>
              </a:solidFill>
              <a:prstDash val="solid"/>
            </a:ln>
          </c:spPr>
          <c:invertIfNegative val="0"/>
          <c:cat>
            <c:numRef>
              <c:f>'PI_rok 2013'!$C$17:$T$17</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'PI_rok 2013'!$C$22:$T$22</c:f>
              <c:numCache>
                <c:formatCode>0.00</c:formatCode>
                <c:ptCount val="18"/>
                <c:pt idx="0">
                  <c:v>83.14</c:v>
                </c:pt>
                <c:pt idx="1">
                  <c:v>81.56</c:v>
                </c:pt>
                <c:pt idx="2">
                  <c:v>86.02</c:v>
                </c:pt>
                <c:pt idx="3">
                  <c:v>86.69</c:v>
                </c:pt>
                <c:pt idx="4">
                  <c:v>87.46</c:v>
                </c:pt>
                <c:pt idx="5">
                  <c:v>87.9</c:v>
                </c:pt>
                <c:pt idx="6">
                  <c:v>86.25</c:v>
                </c:pt>
                <c:pt idx="7">
                  <c:v>88.87</c:v>
                </c:pt>
                <c:pt idx="8">
                  <c:v>87.322500000000005</c:v>
                </c:pt>
                <c:pt idx="9">
                  <c:v>88.13</c:v>
                </c:pt>
                <c:pt idx="10">
                  <c:v>90.23</c:v>
                </c:pt>
                <c:pt idx="11">
                  <c:v>88.06</c:v>
                </c:pt>
                <c:pt idx="12">
                  <c:v>89.56</c:v>
                </c:pt>
                <c:pt idx="13">
                  <c:v>85.29</c:v>
                </c:pt>
                <c:pt idx="14">
                  <c:v>86.41</c:v>
                </c:pt>
                <c:pt idx="15">
                  <c:v>86.04</c:v>
                </c:pt>
                <c:pt idx="16">
                  <c:v>87.36</c:v>
                </c:pt>
                <c:pt idx="17">
                  <c:v>90.45282133381744</c:v>
                </c:pt>
              </c:numCache>
            </c:numRef>
          </c:val>
        </c:ser>
        <c:ser>
          <c:idx val="2"/>
          <c:order val="1"/>
          <c:tx>
            <c:strRef>
              <c:f>'PI_rok 2013'!$B$23</c:f>
              <c:strCache>
                <c:ptCount val="1"/>
                <c:pt idx="0">
                  <c:v>Svět (průměr)</c:v>
                </c:pt>
              </c:strCache>
            </c:strRef>
          </c:tx>
          <c:spPr>
            <a:solidFill>
              <a:srgbClr val="FFFFC0"/>
            </a:solidFill>
            <a:ln w="12700">
              <a:solidFill>
                <a:srgbClr val="000000"/>
              </a:solidFill>
              <a:prstDash val="solid"/>
            </a:ln>
          </c:spPr>
          <c:invertIfNegative val="0"/>
          <c:cat>
            <c:numRef>
              <c:f>'PI_rok 2013'!$C$17:$T$17</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'PI_rok 2013'!$C$23:$T$23</c:f>
              <c:numCache>
                <c:formatCode>General</c:formatCode>
                <c:ptCount val="18"/>
                <c:pt idx="0">
                  <c:v>78.069999999999993</c:v>
                </c:pt>
                <c:pt idx="1">
                  <c:v>78.5</c:v>
                </c:pt>
                <c:pt idx="2">
                  <c:v>80.2</c:v>
                </c:pt>
                <c:pt idx="3">
                  <c:v>81.28</c:v>
                </c:pt>
                <c:pt idx="4">
                  <c:v>82.4</c:v>
                </c:pt>
                <c:pt idx="5">
                  <c:v>83.69</c:v>
                </c:pt>
                <c:pt idx="6">
                  <c:v>82.6</c:v>
                </c:pt>
                <c:pt idx="7" formatCode="0.00">
                  <c:v>81.23</c:v>
                </c:pt>
                <c:pt idx="8" formatCode="0.00">
                  <c:v>83.44</c:v>
                </c:pt>
                <c:pt idx="9" formatCode="0.00">
                  <c:v>83.14</c:v>
                </c:pt>
                <c:pt idx="10" formatCode="0.00">
                  <c:v>83.17</c:v>
                </c:pt>
                <c:pt idx="11" formatCode="0.00">
                  <c:v>80.86</c:v>
                </c:pt>
                <c:pt idx="12" formatCode="0.00">
                  <c:v>80.12</c:v>
                </c:pt>
                <c:pt idx="13" formatCode="0.00">
                  <c:v>80.5</c:v>
                </c:pt>
                <c:pt idx="14" formatCode="0.00">
                  <c:v>81.56</c:v>
                </c:pt>
                <c:pt idx="15" formatCode="0.00">
                  <c:v>81.180000000000007</c:v>
                </c:pt>
                <c:pt idx="16" formatCode="0.00">
                  <c:v>83.5</c:v>
                </c:pt>
                <c:pt idx="17" formatCode="0.00">
                  <c:v>82.6</c:v>
                </c:pt>
              </c:numCache>
            </c:numRef>
          </c:val>
        </c:ser>
        <c:ser>
          <c:idx val="0"/>
          <c:order val="2"/>
          <c:tx>
            <c:strRef>
              <c:f>'PI_rok 2013'!$B$26</c:f>
              <c:strCache>
                <c:ptCount val="1"/>
                <c:pt idx="0">
                  <c:v>ETE (průměr)</c:v>
                </c:pt>
              </c:strCache>
            </c:strRef>
          </c:tx>
          <c:spPr>
            <a:solidFill>
              <a:srgbClr val="8080FF"/>
            </a:solidFill>
            <a:ln w="12700">
              <a:solidFill>
                <a:srgbClr val="000000"/>
              </a:solidFill>
              <a:prstDash val="solid"/>
            </a:ln>
          </c:spPr>
          <c:invertIfNegative val="0"/>
          <c:cat>
            <c:numRef>
              <c:f>'PI_rok 2013'!$C$17:$T$17</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'PI_rok 2013'!$C$26:$T$26</c:f>
              <c:numCache>
                <c:formatCode>General</c:formatCode>
                <c:ptCount val="18"/>
                <c:pt idx="7" formatCode="0.00">
                  <c:v>65.3</c:v>
                </c:pt>
                <c:pt idx="8" formatCode="0.00">
                  <c:v>71.655000000000001</c:v>
                </c:pt>
                <c:pt idx="9" formatCode="0.00">
                  <c:v>65.56</c:v>
                </c:pt>
                <c:pt idx="10" formatCode="0.00">
                  <c:v>70.95</c:v>
                </c:pt>
                <c:pt idx="11" formatCode="0.00">
                  <c:v>70.239999999999995</c:v>
                </c:pt>
                <c:pt idx="12" formatCode="0.00">
                  <c:v>68.56</c:v>
                </c:pt>
                <c:pt idx="13" formatCode="0.00">
                  <c:v>75.58</c:v>
                </c:pt>
                <c:pt idx="14" formatCode="0.00">
                  <c:v>77.97</c:v>
                </c:pt>
                <c:pt idx="15" formatCode="0.00">
                  <c:v>78.33</c:v>
                </c:pt>
                <c:pt idx="16" formatCode="0.00">
                  <c:v>85.95</c:v>
                </c:pt>
                <c:pt idx="17" formatCode="0.00">
                  <c:v>83.58</c:v>
                </c:pt>
              </c:numCache>
            </c:numRef>
          </c:val>
        </c:ser>
        <c:dLbls>
          <c:showLegendKey val="0"/>
          <c:showVal val="0"/>
          <c:showCatName val="0"/>
          <c:showSerName val="0"/>
          <c:showPercent val="0"/>
          <c:showBubbleSize val="0"/>
        </c:dLbls>
        <c:gapWidth val="150"/>
        <c:axId val="186438616"/>
        <c:axId val="186439008"/>
      </c:barChart>
      <c:lineChart>
        <c:grouping val="standard"/>
        <c:varyColors val="0"/>
        <c:ser>
          <c:idx val="3"/>
          <c:order val="3"/>
          <c:tx>
            <c:strRef>
              <c:f>'PI_rok 2013'!$B$27</c:f>
              <c:strCache>
                <c:ptCount val="1"/>
                <c:pt idx="0">
                  <c:v>Svět (median)</c:v>
                </c:pt>
              </c:strCache>
            </c:strRef>
          </c:tx>
          <c:spPr>
            <a:ln w="12700">
              <a:solidFill>
                <a:srgbClr val="00FFFF"/>
              </a:solidFill>
              <a:prstDash val="solid"/>
            </a:ln>
          </c:spPr>
          <c:marker>
            <c:symbol val="x"/>
            <c:size val="5"/>
            <c:spPr>
              <a:noFill/>
              <a:ln>
                <a:solidFill>
                  <a:srgbClr val="00FFFF"/>
                </a:solidFill>
                <a:prstDash val="solid"/>
              </a:ln>
            </c:spPr>
          </c:marker>
          <c:cat>
            <c:numRef>
              <c:f>'PI_rok 2013'!$C$17:$T$17</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'PI_rok 2013'!$C$27:$T$27</c:f>
              <c:numCache>
                <c:formatCode>General</c:formatCode>
                <c:ptCount val="18"/>
                <c:pt idx="0">
                  <c:v>82.23</c:v>
                </c:pt>
                <c:pt idx="1">
                  <c:v>82.72</c:v>
                </c:pt>
                <c:pt idx="2">
                  <c:v>84.635000000000005</c:v>
                </c:pt>
                <c:pt idx="3">
                  <c:v>84.674999999999997</c:v>
                </c:pt>
                <c:pt idx="4">
                  <c:v>86.03</c:v>
                </c:pt>
                <c:pt idx="5">
                  <c:v>86.23</c:v>
                </c:pt>
                <c:pt idx="6">
                  <c:v>87.26</c:v>
                </c:pt>
                <c:pt idx="7" formatCode="0.00">
                  <c:v>85.91</c:v>
                </c:pt>
                <c:pt idx="8" formatCode="0.00">
                  <c:v>87.39</c:v>
                </c:pt>
                <c:pt idx="9" formatCode="0.00">
                  <c:v>86.72</c:v>
                </c:pt>
                <c:pt idx="10" formatCode="0.00">
                  <c:v>86.88</c:v>
                </c:pt>
                <c:pt idx="11" formatCode="0.00">
                  <c:v>85.7</c:v>
                </c:pt>
                <c:pt idx="12" formatCode="0.00">
                  <c:v>86.25</c:v>
                </c:pt>
                <c:pt idx="13" formatCode="0.00">
                  <c:v>87.34</c:v>
                </c:pt>
                <c:pt idx="14" formatCode="0.00">
                  <c:v>87.01</c:v>
                </c:pt>
                <c:pt idx="15" formatCode="0.00">
                  <c:v>87.03</c:v>
                </c:pt>
                <c:pt idx="16" formatCode="0.00">
                  <c:v>86.9</c:v>
                </c:pt>
                <c:pt idx="17" formatCode="0.00">
                  <c:v>86.27</c:v>
                </c:pt>
              </c:numCache>
            </c:numRef>
          </c:val>
          <c:smooth val="0"/>
        </c:ser>
        <c:dLbls>
          <c:showLegendKey val="0"/>
          <c:showVal val="0"/>
          <c:showCatName val="0"/>
          <c:showSerName val="0"/>
          <c:showPercent val="0"/>
          <c:showBubbleSize val="0"/>
        </c:dLbls>
        <c:marker val="1"/>
        <c:smooth val="0"/>
        <c:axId val="186439400"/>
        <c:axId val="186439792"/>
      </c:lineChart>
      <c:catAx>
        <c:axId val="18643861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86439008"/>
        <c:crosses val="autoZero"/>
        <c:auto val="0"/>
        <c:lblAlgn val="ctr"/>
        <c:lblOffset val="100"/>
        <c:tickLblSkip val="1"/>
        <c:tickMarkSkip val="1"/>
        <c:noMultiLvlLbl val="0"/>
      </c:catAx>
      <c:valAx>
        <c:axId val="186439008"/>
        <c:scaling>
          <c:orientation val="minMax"/>
          <c:max val="100"/>
          <c:min val="50"/>
        </c:scaling>
        <c:delete val="0"/>
        <c:axPos val="l"/>
        <c:majorGridlines>
          <c:spPr>
            <a:ln w="3175">
              <a:solidFill>
                <a:srgbClr val="000000"/>
              </a:solidFill>
              <a:prstDash val="solid"/>
            </a:ln>
          </c:spPr>
        </c:majorGridlines>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86438616"/>
        <c:crosses val="autoZero"/>
        <c:crossBetween val="between"/>
      </c:valAx>
      <c:catAx>
        <c:axId val="186439400"/>
        <c:scaling>
          <c:orientation val="minMax"/>
        </c:scaling>
        <c:delete val="1"/>
        <c:axPos val="b"/>
        <c:numFmt formatCode="General" sourceLinked="1"/>
        <c:majorTickMark val="out"/>
        <c:minorTickMark val="none"/>
        <c:tickLblPos val="nextTo"/>
        <c:crossAx val="186439792"/>
        <c:crosses val="autoZero"/>
        <c:auto val="0"/>
        <c:lblAlgn val="ctr"/>
        <c:lblOffset val="100"/>
        <c:noMultiLvlLbl val="0"/>
      </c:catAx>
      <c:valAx>
        <c:axId val="186439792"/>
        <c:scaling>
          <c:orientation val="minMax"/>
        </c:scaling>
        <c:delete val="1"/>
        <c:axPos val="l"/>
        <c:numFmt formatCode="General" sourceLinked="1"/>
        <c:majorTickMark val="out"/>
        <c:minorTickMark val="none"/>
        <c:tickLblPos val="nextTo"/>
        <c:crossAx val="186439400"/>
        <c:crosses val="autoZero"/>
        <c:crossBetween val="between"/>
      </c:valAx>
      <c:spPr>
        <a:solidFill>
          <a:srgbClr val="C0C0C0"/>
        </a:solidFill>
        <a:ln w="25400">
          <a:noFill/>
        </a:ln>
      </c:spPr>
    </c:plotArea>
    <c:legend>
      <c:legendPos val="r"/>
      <c:layout>
        <c:manualLayout>
          <c:xMode val="edge"/>
          <c:yMode val="edge"/>
          <c:x val="0.86334101946584219"/>
          <c:y val="0.2925768776719504"/>
          <c:w val="0.13665890110843582"/>
          <c:h val="0.371179956217263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E"/>
              <a:ea typeface="Arial CE"/>
              <a:cs typeface="Arial CE"/>
            </a:defRPr>
          </a:pPr>
          <a:endParaRPr lang="cs-CZ"/>
        </a:p>
      </c:txPr>
    </c:legend>
    <c:plotVisOnly val="0"/>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Rozpad investičních nákladů v mld. Kč</a:t>
            </a:r>
          </a:p>
        </c:rich>
      </c:tx>
      <c:layout/>
      <c:overlay val="0"/>
      <c:spPr>
        <a:noFill/>
        <a:ln>
          <a:noFill/>
        </a:ln>
        <a:effectLst/>
      </c:spPr>
    </c:title>
    <c:autoTitleDeleted val="0"/>
    <c:plotArea>
      <c:layout/>
      <c:barChart>
        <c:barDir val="col"/>
        <c:grouping val="clustered"/>
        <c:varyColors val="0"/>
        <c:ser>
          <c:idx val="0"/>
          <c:order val="0"/>
          <c:tx>
            <c:strRef>
              <c:f>[NJZ_CAPEX_v2.xlsx]Sheet1!$C$9</c:f>
              <c:strCache>
                <c:ptCount val="1"/>
                <c:pt idx="0">
                  <c:v>Rozložení v čase</c:v>
                </c:pt>
              </c:strCache>
            </c:strRef>
          </c:tx>
          <c:spPr>
            <a:pattFill prst="ltDnDiag">
              <a:fgClr>
                <a:sysClr val="windowText" lastClr="000000"/>
              </a:fgClr>
              <a:bgClr>
                <a:sysClr val="window" lastClr="FFFFFF"/>
              </a:bgClr>
            </a:pattFill>
            <a:ln>
              <a:solidFill>
                <a:sysClr val="windowText" lastClr="000000"/>
              </a:solidFill>
            </a:ln>
            <a:effectLst/>
          </c:spPr>
          <c:invertIfNegative val="0"/>
          <c:cat>
            <c:numRef>
              <c:f>[NJZ_CAPEX_v2.xlsx]Sheet1!$E$1:$X$1</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cat>
          <c:val>
            <c:numRef>
              <c:f>[NJZ_CAPEX_v2.xlsx]Sheet1!$E$9:$X$9</c:f>
              <c:numCache>
                <c:formatCode>0.00%</c:formatCode>
                <c:ptCount val="20"/>
                <c:pt idx="0">
                  <c:v>1.6306621834260026E-3</c:v>
                </c:pt>
                <c:pt idx="1">
                  <c:v>2.3739362935342838E-3</c:v>
                </c:pt>
                <c:pt idx="2">
                  <c:v>3.1123402982699468E-3</c:v>
                </c:pt>
                <c:pt idx="3">
                  <c:v>3.9431391190185164E-3</c:v>
                </c:pt>
                <c:pt idx="4">
                  <c:v>4.0061075236954638E-3</c:v>
                </c:pt>
                <c:pt idx="5">
                  <c:v>2.5000445854717213E-2</c:v>
                </c:pt>
                <c:pt idx="6">
                  <c:v>1.7856344238253788E-2</c:v>
                </c:pt>
                <c:pt idx="7">
                  <c:v>1.5716721746872511E-2</c:v>
                </c:pt>
                <c:pt idx="8">
                  <c:v>2.3842252485468562E-2</c:v>
                </c:pt>
                <c:pt idx="9">
                  <c:v>2.326572803959738E-2</c:v>
                </c:pt>
                <c:pt idx="10">
                  <c:v>1.9993497380432074E-2</c:v>
                </c:pt>
                <c:pt idx="11">
                  <c:v>0.16685529750856384</c:v>
                </c:pt>
                <c:pt idx="12">
                  <c:v>0.1545853756909033</c:v>
                </c:pt>
                <c:pt idx="13">
                  <c:v>0.14883179204787256</c:v>
                </c:pt>
                <c:pt idx="14">
                  <c:v>0.14616489490861351</c:v>
                </c:pt>
                <c:pt idx="15">
                  <c:v>0.13560979892638181</c:v>
                </c:pt>
                <c:pt idx="16">
                  <c:v>5.3786541223727169E-2</c:v>
                </c:pt>
                <c:pt idx="17">
                  <c:v>5.2448977072092617E-2</c:v>
                </c:pt>
                <c:pt idx="18">
                  <c:v>4.4585471721148018E-4</c:v>
                </c:pt>
                <c:pt idx="19">
                  <c:v>5.1444775062858827E-4</c:v>
                </c:pt>
              </c:numCache>
            </c:numRef>
          </c:val>
        </c:ser>
        <c:dLbls>
          <c:showLegendKey val="0"/>
          <c:showVal val="0"/>
          <c:showCatName val="0"/>
          <c:showSerName val="0"/>
          <c:showPercent val="0"/>
          <c:showBubbleSize val="0"/>
        </c:dLbls>
        <c:gapWidth val="150"/>
        <c:axId val="186440184"/>
        <c:axId val="186440576"/>
      </c:barChart>
      <c:lineChart>
        <c:grouping val="standard"/>
        <c:varyColors val="0"/>
        <c:ser>
          <c:idx val="1"/>
          <c:order val="1"/>
          <c:tx>
            <c:strRef>
              <c:f>[NJZ_CAPEX_v2.xlsx]Sheet1!$C$10</c:f>
              <c:strCache>
                <c:ptCount val="1"/>
                <c:pt idx="0">
                  <c:v>CAPEX</c:v>
                </c:pt>
              </c:strCache>
            </c:strRef>
          </c:tx>
          <c:spPr>
            <a:ln w="19050" cap="rnd">
              <a:solidFill>
                <a:srgbClr val="C0504D"/>
              </a:solidFill>
              <a:round/>
            </a:ln>
            <a:effectLst/>
          </c:spPr>
          <c:marker>
            <c:symbol val="none"/>
          </c:marker>
          <c:val>
            <c:numRef>
              <c:f>[NJZ_CAPEX_v2.xlsx]Sheet1!$E$10:$X$10</c:f>
              <c:numCache>
                <c:formatCode>#,##0</c:formatCode>
                <c:ptCount val="20"/>
                <c:pt idx="0">
                  <c:v>8.8055757905004128</c:v>
                </c:pt>
                <c:pt idx="1">
                  <c:v>12.819255985085134</c:v>
                </c:pt>
                <c:pt idx="2">
                  <c:v>16.806637610657713</c:v>
                </c:pt>
                <c:pt idx="3">
                  <c:v>21.292951242699989</c:v>
                </c:pt>
                <c:pt idx="4">
                  <c:v>21.632980627955504</c:v>
                </c:pt>
                <c:pt idx="5">
                  <c:v>135.00240761547298</c:v>
                </c:pt>
                <c:pt idx="6">
                  <c:v>96.42425888657047</c:v>
                </c:pt>
                <c:pt idx="7">
                  <c:v>84.87029743311156</c:v>
                </c:pt>
                <c:pt idx="8">
                  <c:v>128.74816342153022</c:v>
                </c:pt>
                <c:pt idx="9">
                  <c:v>125.63493141382587</c:v>
                </c:pt>
                <c:pt idx="10">
                  <c:v>107.9648858543332</c:v>
                </c:pt>
                <c:pt idx="11">
                  <c:v>901.01860654624477</c:v>
                </c:pt>
                <c:pt idx="12">
                  <c:v>834.7610287308778</c:v>
                </c:pt>
                <c:pt idx="13">
                  <c:v>803.6916770585118</c:v>
                </c:pt>
                <c:pt idx="14">
                  <c:v>789.29043250651284</c:v>
                </c:pt>
                <c:pt idx="15">
                  <c:v>732.2929142024617</c:v>
                </c:pt>
                <c:pt idx="16">
                  <c:v>290.44732260812668</c:v>
                </c:pt>
                <c:pt idx="17">
                  <c:v>283.22447618930011</c:v>
                </c:pt>
                <c:pt idx="18">
                  <c:v>2.407615472941993</c:v>
                </c:pt>
                <c:pt idx="19">
                  <c:v>2.7780178533943767</c:v>
                </c:pt>
              </c:numCache>
            </c:numRef>
          </c:val>
          <c:smooth val="0"/>
        </c:ser>
        <c:dLbls>
          <c:showLegendKey val="0"/>
          <c:showVal val="0"/>
          <c:showCatName val="0"/>
          <c:showSerName val="0"/>
          <c:showPercent val="0"/>
          <c:showBubbleSize val="0"/>
        </c:dLbls>
        <c:marker val="1"/>
        <c:smooth val="0"/>
        <c:axId val="186441360"/>
        <c:axId val="186440968"/>
      </c:lineChart>
      <c:catAx>
        <c:axId val="18644018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86440576"/>
        <c:crosses val="autoZero"/>
        <c:auto val="1"/>
        <c:lblAlgn val="ctr"/>
        <c:lblOffset val="100"/>
        <c:noMultiLvlLbl val="0"/>
      </c:catAx>
      <c:valAx>
        <c:axId val="186440576"/>
        <c:scaling>
          <c:orientation val="minMax"/>
        </c:scaling>
        <c:delete val="0"/>
        <c:axPos val="l"/>
        <c:majorGridlines>
          <c:spPr>
            <a:ln w="9525" cap="flat" cmpd="sng" algn="ctr">
              <a:solidFill>
                <a:sysClr val="windowText" lastClr="000000">
                  <a:lumMod val="15000"/>
                  <a:lumOff val="85000"/>
                </a:sysClr>
              </a:solidFill>
              <a:prstDash val="sysDash"/>
              <a:round/>
            </a:ln>
            <a:effectLst/>
          </c:spPr>
        </c:majorGridlines>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86440184"/>
        <c:crosses val="autoZero"/>
        <c:crossBetween val="between"/>
      </c:valAx>
      <c:valAx>
        <c:axId val="186440968"/>
        <c:scaling>
          <c:orientation val="minMax"/>
        </c:scaling>
        <c:delete val="0"/>
        <c:axPos val="r"/>
        <c:title>
          <c:tx>
            <c:rich>
              <a:bodyPr rot="-5400000" vert="horz"/>
              <a:lstStyle/>
              <a:p>
                <a:pPr>
                  <a:defRPr/>
                </a:pPr>
                <a:r>
                  <a:rPr lang="cs-CZ"/>
                  <a:t>mld. Kč</a:t>
                </a:r>
              </a:p>
            </c:rich>
          </c:tx>
          <c:layout/>
          <c:overlay val="0"/>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86441360"/>
        <c:crosses val="max"/>
        <c:crossBetween val="between"/>
      </c:valAx>
      <c:catAx>
        <c:axId val="186441360"/>
        <c:scaling>
          <c:orientation val="minMax"/>
        </c:scaling>
        <c:delete val="1"/>
        <c:axPos val="b"/>
        <c:majorTickMark val="none"/>
        <c:minorTickMark val="none"/>
        <c:tickLblPos val="nextTo"/>
        <c:crossAx val="1864409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 v aplikaci Microsoft Word]pivot!PivotTable3</c:name>
    <c:fmtId val="-1"/>
  </c:pivotSource>
  <c:chart>
    <c:title>
      <c:tx>
        <c:rich>
          <a:bodyPr/>
          <a:lstStyle/>
          <a:p>
            <a:pPr>
              <a:defRPr sz="1200"/>
            </a:pPr>
            <a:r>
              <a:rPr lang="cs-CZ" sz="1200"/>
              <a:t>Prognóza vývoje ceny silové elektřiny do roku 2030</a:t>
            </a:r>
          </a:p>
        </c:rich>
      </c:tx>
      <c:layout/>
      <c:overlay val="0"/>
    </c:title>
    <c:autoTitleDeleted val="0"/>
    <c:pivotFmts>
      <c:pivotFmt>
        <c:idx val="0"/>
        <c:spPr>
          <a:ln w="28545" cap="rnd">
            <a:solidFill>
              <a:schemeClr val="accent1"/>
            </a:solidFill>
            <a:round/>
          </a:ln>
          <a:effectLst/>
        </c:spPr>
        <c:marker>
          <c:symbol val="circle"/>
          <c:size val="4"/>
          <c:spPr>
            <a:solidFill>
              <a:schemeClr val="accent1"/>
            </a:solidFill>
            <a:ln w="9515">
              <a:solidFill>
                <a:schemeClr val="accent1"/>
              </a:solidFill>
            </a:ln>
            <a:effectLst/>
          </c:spPr>
        </c:marker>
      </c:pivotFmt>
      <c:pivotFmt>
        <c:idx val="1"/>
        <c:spPr>
          <a:ln w="28545" cap="rnd">
            <a:solidFill>
              <a:schemeClr val="accent2"/>
            </a:solidFill>
            <a:round/>
          </a:ln>
          <a:effectLst/>
        </c:spPr>
        <c:marker>
          <c:symbol val="circle"/>
          <c:size val="4"/>
          <c:spPr>
            <a:solidFill>
              <a:schemeClr val="accent2"/>
            </a:solidFill>
            <a:ln w="9515">
              <a:solidFill>
                <a:schemeClr val="accent2"/>
              </a:solidFill>
            </a:ln>
            <a:effectLst/>
          </c:spPr>
        </c:marker>
      </c:pivotFmt>
      <c:pivotFmt>
        <c:idx val="2"/>
        <c:spPr>
          <a:ln w="28545" cap="rnd">
            <a:solidFill>
              <a:schemeClr val="accent3"/>
            </a:solidFill>
            <a:round/>
          </a:ln>
          <a:effectLst/>
        </c:spPr>
        <c:marker>
          <c:symbol val="circle"/>
          <c:size val="4"/>
          <c:spPr>
            <a:solidFill>
              <a:schemeClr val="accent3"/>
            </a:solidFill>
            <a:ln w="9515">
              <a:solidFill>
                <a:schemeClr val="accent3"/>
              </a:solidFill>
            </a:ln>
            <a:effectLst/>
          </c:spPr>
        </c:marker>
      </c:pivotFmt>
    </c:pivotFmts>
    <c:plotArea>
      <c:layout/>
      <c:lineChart>
        <c:grouping val="standard"/>
        <c:varyColors val="0"/>
        <c:ser>
          <c:idx val="0"/>
          <c:order val="0"/>
          <c:tx>
            <c:strRef>
              <c:f>pivot!$B$4:$B$5</c:f>
              <c:strCache>
                <c:ptCount val="1"/>
                <c:pt idx="0">
                  <c:v>MSR2021</c:v>
                </c:pt>
              </c:strCache>
            </c:strRef>
          </c:tx>
          <c:spPr>
            <a:ln w="34925" cap="rnd">
              <a:solidFill>
                <a:srgbClr val="4BACC6"/>
              </a:solidFill>
              <a:round/>
            </a:ln>
            <a:effectLst/>
          </c:spPr>
          <c:marker>
            <c:symbol val="none"/>
          </c:marker>
          <c:cat>
            <c:strRef>
              <c:f>pivot!$A$6:$A$21</c:f>
              <c:strCache>
                <c:ptCount val="16"/>
                <c:pt idx="0">
                  <c:v>31.12.2015</c:v>
                </c:pt>
                <c:pt idx="1">
                  <c:v>31.12.2016</c:v>
                </c:pt>
                <c:pt idx="2">
                  <c:v>31.12.2017</c:v>
                </c:pt>
                <c:pt idx="3">
                  <c:v>31.12.2018</c:v>
                </c:pt>
                <c:pt idx="4">
                  <c:v>31.12.2019</c:v>
                </c:pt>
                <c:pt idx="5">
                  <c:v>31.12.2020</c:v>
                </c:pt>
                <c:pt idx="6">
                  <c:v>31.12.2021</c:v>
                </c:pt>
                <c:pt idx="7">
                  <c:v>31.12.2022</c:v>
                </c:pt>
                <c:pt idx="8">
                  <c:v>31.12.2023</c:v>
                </c:pt>
                <c:pt idx="9">
                  <c:v>31.12.2024</c:v>
                </c:pt>
                <c:pt idx="10">
                  <c:v>31.12.2025</c:v>
                </c:pt>
                <c:pt idx="11">
                  <c:v>31.12.2026</c:v>
                </c:pt>
                <c:pt idx="12">
                  <c:v>31.12.2027</c:v>
                </c:pt>
                <c:pt idx="13">
                  <c:v>31.12.2028</c:v>
                </c:pt>
                <c:pt idx="14">
                  <c:v>31.12.2029</c:v>
                </c:pt>
                <c:pt idx="15">
                  <c:v>31.12.2030</c:v>
                </c:pt>
              </c:strCache>
            </c:strRef>
          </c:cat>
          <c:val>
            <c:numRef>
              <c:f>pivot!$B$6:$B$21</c:f>
              <c:numCache>
                <c:formatCode>0.0</c:formatCode>
                <c:ptCount val="16"/>
                <c:pt idx="0">
                  <c:v>41.323180952774003</c:v>
                </c:pt>
                <c:pt idx="1">
                  <c:v>41.374495575241298</c:v>
                </c:pt>
                <c:pt idx="2">
                  <c:v>42.056917230686103</c:v>
                </c:pt>
                <c:pt idx="3">
                  <c:v>43.786199104654102</c:v>
                </c:pt>
                <c:pt idx="4">
                  <c:v>42.243494182295699</c:v>
                </c:pt>
                <c:pt idx="5">
                  <c:v>41.385007676083802</c:v>
                </c:pt>
                <c:pt idx="6">
                  <c:v>44.368459316363001</c:v>
                </c:pt>
                <c:pt idx="7">
                  <c:v>48.491236017899602</c:v>
                </c:pt>
                <c:pt idx="8">
                  <c:v>52.381657567446403</c:v>
                </c:pt>
                <c:pt idx="9">
                  <c:v>54.969313955522502</c:v>
                </c:pt>
                <c:pt idx="10">
                  <c:v>57.839009664601598</c:v>
                </c:pt>
                <c:pt idx="11">
                  <c:v>60.2291313329453</c:v>
                </c:pt>
                <c:pt idx="12">
                  <c:v>62.1056019176918</c:v>
                </c:pt>
                <c:pt idx="13">
                  <c:v>63.629721009524197</c:v>
                </c:pt>
                <c:pt idx="14">
                  <c:v>65.798627665980604</c:v>
                </c:pt>
                <c:pt idx="15">
                  <c:v>68.256888497603896</c:v>
                </c:pt>
              </c:numCache>
            </c:numRef>
          </c:val>
          <c:smooth val="0"/>
        </c:ser>
        <c:ser>
          <c:idx val="1"/>
          <c:order val="1"/>
          <c:tx>
            <c:strRef>
              <c:f>pivot!$C$4:$C$5</c:f>
              <c:strCache>
                <c:ptCount val="1"/>
                <c:pt idx="0">
                  <c:v>bez MSR</c:v>
                </c:pt>
              </c:strCache>
            </c:strRef>
          </c:tx>
          <c:spPr>
            <a:ln w="34925" cap="rnd">
              <a:solidFill>
                <a:sysClr val="window" lastClr="FFFFFF">
                  <a:lumMod val="65000"/>
                </a:sysClr>
              </a:solidFill>
              <a:round/>
            </a:ln>
            <a:effectLst/>
          </c:spPr>
          <c:marker>
            <c:symbol val="none"/>
          </c:marker>
          <c:cat>
            <c:strRef>
              <c:f>pivot!$A$6:$A$21</c:f>
              <c:strCache>
                <c:ptCount val="16"/>
                <c:pt idx="0">
                  <c:v>31.12.2015</c:v>
                </c:pt>
                <c:pt idx="1">
                  <c:v>31.12.2016</c:v>
                </c:pt>
                <c:pt idx="2">
                  <c:v>31.12.2017</c:v>
                </c:pt>
                <c:pt idx="3">
                  <c:v>31.12.2018</c:v>
                </c:pt>
                <c:pt idx="4">
                  <c:v>31.12.2019</c:v>
                </c:pt>
                <c:pt idx="5">
                  <c:v>31.12.2020</c:v>
                </c:pt>
                <c:pt idx="6">
                  <c:v>31.12.2021</c:v>
                </c:pt>
                <c:pt idx="7">
                  <c:v>31.12.2022</c:v>
                </c:pt>
                <c:pt idx="8">
                  <c:v>31.12.2023</c:v>
                </c:pt>
                <c:pt idx="9">
                  <c:v>31.12.2024</c:v>
                </c:pt>
                <c:pt idx="10">
                  <c:v>31.12.2025</c:v>
                </c:pt>
                <c:pt idx="11">
                  <c:v>31.12.2026</c:v>
                </c:pt>
                <c:pt idx="12">
                  <c:v>31.12.2027</c:v>
                </c:pt>
                <c:pt idx="13">
                  <c:v>31.12.2028</c:v>
                </c:pt>
                <c:pt idx="14">
                  <c:v>31.12.2029</c:v>
                </c:pt>
                <c:pt idx="15">
                  <c:v>31.12.2030</c:v>
                </c:pt>
              </c:strCache>
            </c:strRef>
          </c:cat>
          <c:val>
            <c:numRef>
              <c:f>pivot!$C$6:$C$21</c:f>
              <c:numCache>
                <c:formatCode>0.0</c:formatCode>
                <c:ptCount val="16"/>
                <c:pt idx="0">
                  <c:v>41.322247805758003</c:v>
                </c:pt>
                <c:pt idx="1">
                  <c:v>41.384306560323303</c:v>
                </c:pt>
                <c:pt idx="2">
                  <c:v>42.063059257003403</c:v>
                </c:pt>
                <c:pt idx="3">
                  <c:v>43.798369370613003</c:v>
                </c:pt>
                <c:pt idx="4">
                  <c:v>42.234435898582198</c:v>
                </c:pt>
                <c:pt idx="5">
                  <c:v>41.384909754482003</c:v>
                </c:pt>
                <c:pt idx="6">
                  <c:v>42.654032213994199</c:v>
                </c:pt>
                <c:pt idx="7">
                  <c:v>45.643610655280902</c:v>
                </c:pt>
                <c:pt idx="8">
                  <c:v>48.5748646422729</c:v>
                </c:pt>
                <c:pt idx="9">
                  <c:v>49.748100815004598</c:v>
                </c:pt>
                <c:pt idx="10">
                  <c:v>52.156823776351601</c:v>
                </c:pt>
                <c:pt idx="11">
                  <c:v>54.445212772964602</c:v>
                </c:pt>
                <c:pt idx="12">
                  <c:v>56.195970379825397</c:v>
                </c:pt>
                <c:pt idx="13">
                  <c:v>57.9443256142793</c:v>
                </c:pt>
                <c:pt idx="14">
                  <c:v>60.227213711691803</c:v>
                </c:pt>
                <c:pt idx="15">
                  <c:v>62.6243442724315</c:v>
                </c:pt>
              </c:numCache>
            </c:numRef>
          </c:val>
          <c:smooth val="0"/>
        </c:ser>
        <c:ser>
          <c:idx val="2"/>
          <c:order val="2"/>
          <c:tx>
            <c:strRef>
              <c:f>pivot!$D$4:$D$5</c:f>
              <c:strCache>
                <c:ptCount val="1"/>
                <c:pt idx="0">
                  <c:v>MSR2017</c:v>
                </c:pt>
              </c:strCache>
            </c:strRef>
          </c:tx>
          <c:spPr>
            <a:ln w="34925" cap="rnd">
              <a:solidFill>
                <a:srgbClr val="F79646"/>
              </a:solidFill>
              <a:round/>
            </a:ln>
            <a:effectLst/>
          </c:spPr>
          <c:marker>
            <c:symbol val="none"/>
          </c:marker>
          <c:cat>
            <c:strRef>
              <c:f>pivot!$A$6:$A$21</c:f>
              <c:strCache>
                <c:ptCount val="16"/>
                <c:pt idx="0">
                  <c:v>31.12.2015</c:v>
                </c:pt>
                <c:pt idx="1">
                  <c:v>31.12.2016</c:v>
                </c:pt>
                <c:pt idx="2">
                  <c:v>31.12.2017</c:v>
                </c:pt>
                <c:pt idx="3">
                  <c:v>31.12.2018</c:v>
                </c:pt>
                <c:pt idx="4">
                  <c:v>31.12.2019</c:v>
                </c:pt>
                <c:pt idx="5">
                  <c:v>31.12.2020</c:v>
                </c:pt>
                <c:pt idx="6">
                  <c:v>31.12.2021</c:v>
                </c:pt>
                <c:pt idx="7">
                  <c:v>31.12.2022</c:v>
                </c:pt>
                <c:pt idx="8">
                  <c:v>31.12.2023</c:v>
                </c:pt>
                <c:pt idx="9">
                  <c:v>31.12.2024</c:v>
                </c:pt>
                <c:pt idx="10">
                  <c:v>31.12.2025</c:v>
                </c:pt>
                <c:pt idx="11">
                  <c:v>31.12.2026</c:v>
                </c:pt>
                <c:pt idx="12">
                  <c:v>31.12.2027</c:v>
                </c:pt>
                <c:pt idx="13">
                  <c:v>31.12.2028</c:v>
                </c:pt>
                <c:pt idx="14">
                  <c:v>31.12.2029</c:v>
                </c:pt>
                <c:pt idx="15">
                  <c:v>31.12.2030</c:v>
                </c:pt>
              </c:strCache>
            </c:strRef>
          </c:cat>
          <c:val>
            <c:numRef>
              <c:f>pivot!$D$6:$D$21</c:f>
              <c:numCache>
                <c:formatCode>0.0</c:formatCode>
                <c:ptCount val="16"/>
                <c:pt idx="0">
                  <c:v>45.486162120958902</c:v>
                </c:pt>
                <c:pt idx="1">
                  <c:v>51.662834828975399</c:v>
                </c:pt>
                <c:pt idx="2">
                  <c:v>58.648331727467998</c:v>
                </c:pt>
                <c:pt idx="3">
                  <c:v>59.312244591671202</c:v>
                </c:pt>
                <c:pt idx="4">
                  <c:v>59.854429599192898</c:v>
                </c:pt>
                <c:pt idx="5">
                  <c:v>60.913700617724302</c:v>
                </c:pt>
                <c:pt idx="6">
                  <c:v>61.980285664271697</c:v>
                </c:pt>
                <c:pt idx="7">
                  <c:v>63.5713569872226</c:v>
                </c:pt>
                <c:pt idx="8">
                  <c:v>65.433873854395003</c:v>
                </c:pt>
                <c:pt idx="9">
                  <c:v>66.882101258653194</c:v>
                </c:pt>
                <c:pt idx="10">
                  <c:v>69.156025058957695</c:v>
                </c:pt>
                <c:pt idx="11">
                  <c:v>70.810813842263698</c:v>
                </c:pt>
                <c:pt idx="12">
                  <c:v>71.902936048615302</c:v>
                </c:pt>
                <c:pt idx="13">
                  <c:v>72.649707067304107</c:v>
                </c:pt>
                <c:pt idx="14">
                  <c:v>74.313859991883604</c:v>
                </c:pt>
                <c:pt idx="15">
                  <c:v>76.236422578111899</c:v>
                </c:pt>
              </c:numCache>
            </c:numRef>
          </c:val>
          <c:smooth val="0"/>
        </c:ser>
        <c:dLbls>
          <c:showLegendKey val="0"/>
          <c:showVal val="0"/>
          <c:showCatName val="0"/>
          <c:showSerName val="0"/>
          <c:showPercent val="0"/>
          <c:showBubbleSize val="0"/>
        </c:dLbls>
        <c:smooth val="0"/>
        <c:axId val="186442144"/>
        <c:axId val="186442536"/>
      </c:lineChart>
      <c:catAx>
        <c:axId val="186442144"/>
        <c:scaling>
          <c:orientation val="minMax"/>
        </c:scaling>
        <c:delete val="0"/>
        <c:axPos val="b"/>
        <c:title>
          <c:tx>
            <c:rich>
              <a:bodyPr/>
              <a:lstStyle/>
              <a:p>
                <a:pPr>
                  <a:defRPr sz="996" b="0" i="0" u="none" strike="noStrike" baseline="0">
                    <a:solidFill>
                      <a:srgbClr val="333333"/>
                    </a:solidFill>
                    <a:latin typeface="Calibri"/>
                    <a:ea typeface="Calibri"/>
                    <a:cs typeface="Calibri"/>
                  </a:defRPr>
                </a:pPr>
                <a:r>
                  <a:rPr lang="cs-CZ"/>
                  <a:t>rok</a:t>
                </a:r>
              </a:p>
            </c:rich>
          </c:tx>
          <c:layout/>
          <c:overlay val="0"/>
          <c:spPr>
            <a:noFill/>
            <a:ln w="25394">
              <a:noFill/>
            </a:ln>
          </c:spPr>
        </c:title>
        <c:numFmt formatCode="General" sourceLinked="1"/>
        <c:majorTickMark val="none"/>
        <c:minorTickMark val="none"/>
        <c:tickLblPos val="nextTo"/>
        <c:spPr>
          <a:noFill/>
          <a:ln w="9523" cap="flat" cmpd="sng" algn="ctr">
            <a:solidFill>
              <a:sysClr val="window" lastClr="FFFFFF">
                <a:lumMod val="50000"/>
              </a:sys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86442536"/>
        <c:crosses val="autoZero"/>
        <c:auto val="0"/>
        <c:lblAlgn val="ctr"/>
        <c:lblOffset val="100"/>
        <c:noMultiLvlLbl val="0"/>
      </c:catAx>
      <c:valAx>
        <c:axId val="186442536"/>
        <c:scaling>
          <c:orientation val="minMax"/>
        </c:scaling>
        <c:delete val="0"/>
        <c:axPos val="l"/>
        <c:majorGridlines>
          <c:spPr>
            <a:ln w="9523" cap="flat" cmpd="sng" algn="ctr">
              <a:solidFill>
                <a:sysClr val="window" lastClr="FFFFFF">
                  <a:lumMod val="85000"/>
                </a:sysClr>
              </a:solidFill>
              <a:prstDash val="sysDash"/>
              <a:round/>
            </a:ln>
            <a:effectLst/>
          </c:spPr>
        </c:majorGridlines>
        <c:title>
          <c:tx>
            <c:rich>
              <a:bodyPr/>
              <a:lstStyle/>
              <a:p>
                <a:pPr>
                  <a:defRPr sz="996" b="0" i="0" u="none" strike="noStrike" baseline="0">
                    <a:solidFill>
                      <a:sysClr val="windowText" lastClr="000000"/>
                    </a:solidFill>
                    <a:latin typeface="Calibri"/>
                    <a:ea typeface="Calibri"/>
                    <a:cs typeface="Calibri"/>
                  </a:defRPr>
                </a:pPr>
                <a:r>
                  <a:rPr lang="cs-CZ">
                    <a:solidFill>
                      <a:sysClr val="windowText" lastClr="000000"/>
                    </a:solidFill>
                  </a:rPr>
                  <a:t>EUR</a:t>
                </a:r>
              </a:p>
            </c:rich>
          </c:tx>
          <c:layout/>
          <c:overlay val="0"/>
          <c:spPr>
            <a:noFill/>
            <a:ln w="25394">
              <a:noFill/>
            </a:ln>
          </c:spPr>
        </c:title>
        <c:numFmt formatCode="0" sourceLinked="0"/>
        <c:majorTickMark val="none"/>
        <c:minorTickMark val="none"/>
        <c:tickLblPos val="nextTo"/>
        <c:spPr>
          <a:ln w="9523">
            <a:solidFill>
              <a:sysClr val="window" lastClr="FFFFFF">
                <a:lumMod val="50000"/>
              </a:sysClr>
            </a:solid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86442144"/>
        <c:crosses val="autoZero"/>
        <c:crossBetween val="between"/>
      </c:valAx>
      <c:spPr>
        <a:noFill/>
        <a:ln w="25421">
          <a:noFill/>
        </a:ln>
      </c:spPr>
    </c:plotArea>
    <c:legend>
      <c:legendPos val="b"/>
      <c:layout/>
      <c:overlay val="0"/>
      <c:spPr>
        <a:noFill/>
        <a:ln w="25394">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3" cap="flat" cmpd="sng" algn="ctr">
      <a:solidFill>
        <a:sysClr val="windowText" lastClr="000000"/>
      </a:solidFill>
      <a:round/>
    </a:ln>
    <a:effectLst/>
  </c:spPr>
  <c:txPr>
    <a:bodyPr/>
    <a:lstStyle/>
    <a:p>
      <a:pPr>
        <a:defRPr/>
      </a:pPr>
      <a:endParaRPr lang="cs-CZ"/>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Srovnání scénářů tuzemské netto spotřeby elektřiny</a:t>
            </a:r>
          </a:p>
        </c:rich>
      </c:tx>
      <c:layout/>
      <c:overlay val="0"/>
    </c:title>
    <c:autoTitleDeleted val="0"/>
    <c:plotArea>
      <c:layout/>
      <c:lineChart>
        <c:grouping val="standard"/>
        <c:varyColors val="0"/>
        <c:ser>
          <c:idx val="0"/>
          <c:order val="0"/>
          <c:tx>
            <c:strRef>
              <c:f>List1!$A$2</c:f>
              <c:strCache>
                <c:ptCount val="1"/>
                <c:pt idx="0">
                  <c:v>Nízký scénář</c:v>
                </c:pt>
              </c:strCache>
            </c:strRef>
          </c:tx>
          <c:spPr>
            <a:ln w="22225">
              <a:prstDash val="solid"/>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List1!$B$2:$AF$2</c:f>
              <c:numCache>
                <c:formatCode>#,##0</c:formatCode>
                <c:ptCount val="31"/>
                <c:pt idx="0">
                  <c:v>59254.600000000006</c:v>
                </c:pt>
                <c:pt idx="1">
                  <c:v>58635.100000000006</c:v>
                </c:pt>
                <c:pt idx="2">
                  <c:v>58798.999999644482</c:v>
                </c:pt>
                <c:pt idx="3">
                  <c:v>58656.300000240997</c:v>
                </c:pt>
                <c:pt idx="4">
                  <c:v>58561.245757178913</c:v>
                </c:pt>
                <c:pt idx="5">
                  <c:v>58759.643324790304</c:v>
                </c:pt>
                <c:pt idx="6">
                  <c:v>59226.152590662532</c:v>
                </c:pt>
                <c:pt idx="7">
                  <c:v>59450.576518942886</c:v>
                </c:pt>
                <c:pt idx="8">
                  <c:v>59782.72717076767</c:v>
                </c:pt>
                <c:pt idx="9">
                  <c:v>60208.400178996948</c:v>
                </c:pt>
                <c:pt idx="10">
                  <c:v>60764.170660518153</c:v>
                </c:pt>
                <c:pt idx="11">
                  <c:v>61666.37399406451</c:v>
                </c:pt>
                <c:pt idx="12">
                  <c:v>62029.21371375343</c:v>
                </c:pt>
                <c:pt idx="13">
                  <c:v>62264.042155420277</c:v>
                </c:pt>
                <c:pt idx="14">
                  <c:v>62595.584231550354</c:v>
                </c:pt>
                <c:pt idx="15">
                  <c:v>62903.442639516565</c:v>
                </c:pt>
                <c:pt idx="16">
                  <c:v>63176.880548413916</c:v>
                </c:pt>
                <c:pt idx="17">
                  <c:v>63384.464766677658</c:v>
                </c:pt>
                <c:pt idx="18">
                  <c:v>63592.148068068709</c:v>
                </c:pt>
                <c:pt idx="19">
                  <c:v>63891.470615493876</c:v>
                </c:pt>
                <c:pt idx="20">
                  <c:v>64321.749508004832</c:v>
                </c:pt>
                <c:pt idx="21">
                  <c:v>64652.642047001689</c:v>
                </c:pt>
                <c:pt idx="22">
                  <c:v>64909.979611769719</c:v>
                </c:pt>
                <c:pt idx="23">
                  <c:v>64873.606061370265</c:v>
                </c:pt>
                <c:pt idx="24">
                  <c:v>65179.617006423432</c:v>
                </c:pt>
                <c:pt idx="25">
                  <c:v>65409.073589305219</c:v>
                </c:pt>
                <c:pt idx="26">
                  <c:v>65897.202855443989</c:v>
                </c:pt>
                <c:pt idx="27">
                  <c:v>66176.509064673301</c:v>
                </c:pt>
                <c:pt idx="28">
                  <c:v>66363.715696612373</c:v>
                </c:pt>
                <c:pt idx="29">
                  <c:v>66703.469741362744</c:v>
                </c:pt>
                <c:pt idx="30">
                  <c:v>67558.235195791334</c:v>
                </c:pt>
              </c:numCache>
            </c:numRef>
          </c:val>
          <c:smooth val="0"/>
        </c:ser>
        <c:ser>
          <c:idx val="1"/>
          <c:order val="1"/>
          <c:tx>
            <c:strRef>
              <c:f>List1!$A$3</c:f>
              <c:strCache>
                <c:ptCount val="1"/>
                <c:pt idx="0">
                  <c:v>Referenční scénář</c:v>
                </c:pt>
              </c:strCache>
            </c:strRef>
          </c:tx>
          <c:spPr>
            <a:ln w="22225">
              <a:prstDash val="solid"/>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List1!$B$3:$AF$3</c:f>
              <c:numCache>
                <c:formatCode>#,##0</c:formatCode>
                <c:ptCount val="31"/>
                <c:pt idx="0">
                  <c:v>59254.600000000006</c:v>
                </c:pt>
                <c:pt idx="1">
                  <c:v>58635.100000000006</c:v>
                </c:pt>
                <c:pt idx="2">
                  <c:v>58798.999999644497</c:v>
                </c:pt>
                <c:pt idx="3">
                  <c:v>58656.300000240997</c:v>
                </c:pt>
                <c:pt idx="4">
                  <c:v>58667.407491543418</c:v>
                </c:pt>
                <c:pt idx="5">
                  <c:v>59108.349405218003</c:v>
                </c:pt>
                <c:pt idx="6">
                  <c:v>59475.799465161719</c:v>
                </c:pt>
                <c:pt idx="7">
                  <c:v>60047.503431118159</c:v>
                </c:pt>
                <c:pt idx="8">
                  <c:v>60611.632381843287</c:v>
                </c:pt>
                <c:pt idx="9">
                  <c:v>61209.499387627715</c:v>
                </c:pt>
                <c:pt idx="10">
                  <c:v>62076.74087784061</c:v>
                </c:pt>
                <c:pt idx="11">
                  <c:v>63382.579496067912</c:v>
                </c:pt>
                <c:pt idx="12">
                  <c:v>64234.181138652828</c:v>
                </c:pt>
                <c:pt idx="13">
                  <c:v>64843.379447136365</c:v>
                </c:pt>
                <c:pt idx="14">
                  <c:v>65654.356289707168</c:v>
                </c:pt>
                <c:pt idx="15">
                  <c:v>66492.08057902554</c:v>
                </c:pt>
                <c:pt idx="16">
                  <c:v>67176.683416542393</c:v>
                </c:pt>
                <c:pt idx="17">
                  <c:v>67829.291977441972</c:v>
                </c:pt>
                <c:pt idx="18">
                  <c:v>68416.735626499692</c:v>
                </c:pt>
                <c:pt idx="19">
                  <c:v>69004.794716731223</c:v>
                </c:pt>
                <c:pt idx="20">
                  <c:v>69694.498349779693</c:v>
                </c:pt>
                <c:pt idx="21">
                  <c:v>70433.002413707873</c:v>
                </c:pt>
                <c:pt idx="22">
                  <c:v>70990.14975224252</c:v>
                </c:pt>
                <c:pt idx="23">
                  <c:v>71212.09182953478</c:v>
                </c:pt>
                <c:pt idx="24">
                  <c:v>71772.33581349907</c:v>
                </c:pt>
                <c:pt idx="25">
                  <c:v>72155.198589598323</c:v>
                </c:pt>
                <c:pt idx="26">
                  <c:v>72796.208476701504</c:v>
                </c:pt>
                <c:pt idx="27">
                  <c:v>73093.659082397047</c:v>
                </c:pt>
                <c:pt idx="28">
                  <c:v>73240.176983909361</c:v>
                </c:pt>
                <c:pt idx="29">
                  <c:v>73412.768700746965</c:v>
                </c:pt>
                <c:pt idx="30">
                  <c:v>74071.916235604702</c:v>
                </c:pt>
              </c:numCache>
            </c:numRef>
          </c:val>
          <c:smooth val="0"/>
        </c:ser>
        <c:ser>
          <c:idx val="2"/>
          <c:order val="2"/>
          <c:tx>
            <c:strRef>
              <c:f>List1!$A$4</c:f>
              <c:strCache>
                <c:ptCount val="1"/>
                <c:pt idx="0">
                  <c:v>Vysoký scénář</c:v>
                </c:pt>
              </c:strCache>
            </c:strRef>
          </c:tx>
          <c:spPr>
            <a:ln w="22225">
              <a:prstDash val="solid"/>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List1!$B$4:$AF$4</c:f>
              <c:numCache>
                <c:formatCode>#,##0</c:formatCode>
                <c:ptCount val="31"/>
                <c:pt idx="0">
                  <c:v>59254.600000000006</c:v>
                </c:pt>
                <c:pt idx="1">
                  <c:v>58635.100000000006</c:v>
                </c:pt>
                <c:pt idx="2">
                  <c:v>58798.999999644497</c:v>
                </c:pt>
                <c:pt idx="3">
                  <c:v>58656.300000240997</c:v>
                </c:pt>
                <c:pt idx="4">
                  <c:v>58602.765479527632</c:v>
                </c:pt>
                <c:pt idx="5">
                  <c:v>59408.529550260821</c:v>
                </c:pt>
                <c:pt idx="6">
                  <c:v>60172.946977104875</c:v>
                </c:pt>
                <c:pt idx="7">
                  <c:v>61137.738342785095</c:v>
                </c:pt>
                <c:pt idx="8">
                  <c:v>62098.36235793191</c:v>
                </c:pt>
                <c:pt idx="9">
                  <c:v>63112.859055012683</c:v>
                </c:pt>
                <c:pt idx="10">
                  <c:v>64220.880093858766</c:v>
                </c:pt>
                <c:pt idx="11">
                  <c:v>65793.19043563091</c:v>
                </c:pt>
                <c:pt idx="12">
                  <c:v>66919.859710658013</c:v>
                </c:pt>
                <c:pt idx="13">
                  <c:v>67843.486114374464</c:v>
                </c:pt>
                <c:pt idx="14">
                  <c:v>68946.583721243529</c:v>
                </c:pt>
                <c:pt idx="15">
                  <c:v>70081.406112657205</c:v>
                </c:pt>
                <c:pt idx="16">
                  <c:v>71066.305325484238</c:v>
                </c:pt>
                <c:pt idx="17">
                  <c:v>72010.039820846301</c:v>
                </c:pt>
                <c:pt idx="18">
                  <c:v>72916.810919453885</c:v>
                </c:pt>
                <c:pt idx="19">
                  <c:v>73866.617817503575</c:v>
                </c:pt>
                <c:pt idx="20">
                  <c:v>74919.203286546661</c:v>
                </c:pt>
                <c:pt idx="21">
                  <c:v>76035.387036237618</c:v>
                </c:pt>
                <c:pt idx="22">
                  <c:v>76957.781286539393</c:v>
                </c:pt>
                <c:pt idx="23">
                  <c:v>77552.67807817104</c:v>
                </c:pt>
                <c:pt idx="24">
                  <c:v>78444.218296177933</c:v>
                </c:pt>
                <c:pt idx="25">
                  <c:v>79168.977845351765</c:v>
                </c:pt>
                <c:pt idx="26">
                  <c:v>80088.14877577404</c:v>
                </c:pt>
                <c:pt idx="27">
                  <c:v>80662.075881486162</c:v>
                </c:pt>
                <c:pt idx="28">
                  <c:v>81088.214371376991</c:v>
                </c:pt>
                <c:pt idx="29">
                  <c:v>81525.330906765375</c:v>
                </c:pt>
                <c:pt idx="30">
                  <c:v>82413.323575642658</c:v>
                </c:pt>
              </c:numCache>
            </c:numRef>
          </c:val>
          <c:smooth val="0"/>
        </c:ser>
        <c:ser>
          <c:idx val="3"/>
          <c:order val="3"/>
          <c:tx>
            <c:strRef>
              <c:f>List1!$A$5</c:f>
              <c:strCache>
                <c:ptCount val="1"/>
                <c:pt idx="0">
                  <c:v>Nízký bez elektromobility</c:v>
                </c:pt>
              </c:strCache>
            </c:strRef>
          </c:tx>
          <c:spPr>
            <a:ln w="22225">
              <a:solidFill>
                <a:srgbClr val="416FA6"/>
              </a:solidFill>
              <a:prstDash val="dash"/>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List1!$B$5:$AF$5</c:f>
              <c:numCache>
                <c:formatCode>#,##0</c:formatCode>
                <c:ptCount val="31"/>
                <c:pt idx="0">
                  <c:v>59253.724126071567</c:v>
                </c:pt>
                <c:pt idx="1">
                  <c:v>58634.099268317455</c:v>
                </c:pt>
                <c:pt idx="2">
                  <c:v>58797.809979492435</c:v>
                </c:pt>
                <c:pt idx="3">
                  <c:v>58654.957458405428</c:v>
                </c:pt>
                <c:pt idx="4">
                  <c:v>58557.295094441288</c:v>
                </c:pt>
                <c:pt idx="5">
                  <c:v>58752.839475459783</c:v>
                </c:pt>
                <c:pt idx="6">
                  <c:v>59216.223031084875</c:v>
                </c:pt>
                <c:pt idx="7">
                  <c:v>59434.579573581846</c:v>
                </c:pt>
                <c:pt idx="8">
                  <c:v>59759.913122678241</c:v>
                </c:pt>
                <c:pt idx="9">
                  <c:v>60176.202554324584</c:v>
                </c:pt>
                <c:pt idx="10">
                  <c:v>60713.320378428594</c:v>
                </c:pt>
                <c:pt idx="11">
                  <c:v>61583.208732519262</c:v>
                </c:pt>
                <c:pt idx="12">
                  <c:v>61890.473895406307</c:v>
                </c:pt>
                <c:pt idx="13">
                  <c:v>62037.930076899152</c:v>
                </c:pt>
                <c:pt idx="14">
                  <c:v>62269.859347704572</c:v>
                </c:pt>
                <c:pt idx="15">
                  <c:v>62465.35058798817</c:v>
                </c:pt>
                <c:pt idx="16">
                  <c:v>62626.160602138581</c:v>
                </c:pt>
                <c:pt idx="17">
                  <c:v>62708.190839932875</c:v>
                </c:pt>
                <c:pt idx="18">
                  <c:v>62777.843989479217</c:v>
                </c:pt>
                <c:pt idx="19">
                  <c:v>62903.563051139885</c:v>
                </c:pt>
                <c:pt idx="20">
                  <c:v>63132.137849828163</c:v>
                </c:pt>
                <c:pt idx="21">
                  <c:v>63258.360846062635</c:v>
                </c:pt>
                <c:pt idx="22">
                  <c:v>63294.882863784493</c:v>
                </c:pt>
                <c:pt idx="23">
                  <c:v>63032.035569964231</c:v>
                </c:pt>
                <c:pt idx="24">
                  <c:v>63092.551862466236</c:v>
                </c:pt>
                <c:pt idx="25">
                  <c:v>63080.581496961815</c:v>
                </c:pt>
                <c:pt idx="26">
                  <c:v>63347.89953384165</c:v>
                </c:pt>
                <c:pt idx="27">
                  <c:v>63401.046466089589</c:v>
                </c:pt>
                <c:pt idx="28">
                  <c:v>63366.682004770249</c:v>
                </c:pt>
                <c:pt idx="29">
                  <c:v>63483.221095996225</c:v>
                </c:pt>
                <c:pt idx="30">
                  <c:v>64116.004118110861</c:v>
                </c:pt>
              </c:numCache>
            </c:numRef>
          </c:val>
          <c:smooth val="0"/>
        </c:ser>
        <c:ser>
          <c:idx val="4"/>
          <c:order val="4"/>
          <c:tx>
            <c:strRef>
              <c:f>List1!$A$6</c:f>
              <c:strCache>
                <c:ptCount val="1"/>
                <c:pt idx="0">
                  <c:v>Referenční bez elektromobility</c:v>
                </c:pt>
              </c:strCache>
            </c:strRef>
          </c:tx>
          <c:spPr>
            <a:ln w="22225">
              <a:solidFill>
                <a:srgbClr val="A8423F"/>
              </a:solidFill>
              <a:prstDash val="dash"/>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List1!$B$6:$AF$6</c:f>
              <c:numCache>
                <c:formatCode>#,##0</c:formatCode>
                <c:ptCount val="31"/>
                <c:pt idx="0">
                  <c:v>59253.724126071567</c:v>
                </c:pt>
                <c:pt idx="1">
                  <c:v>58634.099268317455</c:v>
                </c:pt>
                <c:pt idx="2">
                  <c:v>58797.809979492449</c:v>
                </c:pt>
                <c:pt idx="3">
                  <c:v>58654.957458405428</c:v>
                </c:pt>
                <c:pt idx="4">
                  <c:v>58663.456828805793</c:v>
                </c:pt>
                <c:pt idx="5">
                  <c:v>59101.545555887482</c:v>
                </c:pt>
                <c:pt idx="6">
                  <c:v>59465.869905584063</c:v>
                </c:pt>
                <c:pt idx="7">
                  <c:v>60031.50648575712</c:v>
                </c:pt>
                <c:pt idx="8">
                  <c:v>60588.818333753858</c:v>
                </c:pt>
                <c:pt idx="9">
                  <c:v>61177.301762955351</c:v>
                </c:pt>
                <c:pt idx="10">
                  <c:v>62025.890595751051</c:v>
                </c:pt>
                <c:pt idx="11">
                  <c:v>63299.414234522665</c:v>
                </c:pt>
                <c:pt idx="12">
                  <c:v>64095.441320305705</c:v>
                </c:pt>
                <c:pt idx="13">
                  <c:v>64617.267368615241</c:v>
                </c:pt>
                <c:pt idx="14">
                  <c:v>65328.631405861393</c:v>
                </c:pt>
                <c:pt idx="15">
                  <c:v>66053.988527497146</c:v>
                </c:pt>
                <c:pt idx="16">
                  <c:v>66625.963470267059</c:v>
                </c:pt>
                <c:pt idx="17">
                  <c:v>67153.018050697181</c:v>
                </c:pt>
                <c:pt idx="18">
                  <c:v>67602.431547910208</c:v>
                </c:pt>
                <c:pt idx="19">
                  <c:v>68016.88715237724</c:v>
                </c:pt>
                <c:pt idx="20">
                  <c:v>68504.886691603024</c:v>
                </c:pt>
                <c:pt idx="21">
                  <c:v>69038.721212768825</c:v>
                </c:pt>
                <c:pt idx="22">
                  <c:v>69375.053004257294</c:v>
                </c:pt>
                <c:pt idx="23">
                  <c:v>69370.521338128747</c:v>
                </c:pt>
                <c:pt idx="24">
                  <c:v>69685.270669541875</c:v>
                </c:pt>
                <c:pt idx="25">
                  <c:v>69826.706497254927</c:v>
                </c:pt>
                <c:pt idx="26">
                  <c:v>70246.905155099157</c:v>
                </c:pt>
                <c:pt idx="27">
                  <c:v>70318.196483813343</c:v>
                </c:pt>
                <c:pt idx="28">
                  <c:v>70243.143292067238</c:v>
                </c:pt>
                <c:pt idx="29">
                  <c:v>70192.520055380446</c:v>
                </c:pt>
                <c:pt idx="30">
                  <c:v>70629.685157924221</c:v>
                </c:pt>
              </c:numCache>
            </c:numRef>
          </c:val>
          <c:smooth val="0"/>
        </c:ser>
        <c:ser>
          <c:idx val="5"/>
          <c:order val="5"/>
          <c:tx>
            <c:strRef>
              <c:f>List1!$A$7</c:f>
              <c:strCache>
                <c:ptCount val="1"/>
                <c:pt idx="0">
                  <c:v>Vysoký bez elektromobility</c:v>
                </c:pt>
              </c:strCache>
            </c:strRef>
          </c:tx>
          <c:spPr>
            <a:ln w="22225">
              <a:solidFill>
                <a:srgbClr val="86AE40"/>
              </a:solidFill>
              <a:prstDash val="dash"/>
            </a:ln>
          </c:spPr>
          <c:marker>
            <c:symbol val="none"/>
          </c:marker>
          <c:cat>
            <c:strRef>
              <c:f>List1!$B$1:$AF$1</c:f>
              <c:strCach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strCache>
            </c:strRef>
          </c:cat>
          <c:val>
            <c:numRef>
              <c:f>List1!$B$7:$AF$7</c:f>
              <c:numCache>
                <c:formatCode>#,##0</c:formatCode>
                <c:ptCount val="31"/>
                <c:pt idx="0">
                  <c:v>59253.724126071567</c:v>
                </c:pt>
                <c:pt idx="1">
                  <c:v>58634.099268317455</c:v>
                </c:pt>
                <c:pt idx="2">
                  <c:v>58797.809979492449</c:v>
                </c:pt>
                <c:pt idx="3">
                  <c:v>58654.957458405428</c:v>
                </c:pt>
                <c:pt idx="4">
                  <c:v>58598.814816790007</c:v>
                </c:pt>
                <c:pt idx="5">
                  <c:v>59401.725700930299</c:v>
                </c:pt>
                <c:pt idx="6">
                  <c:v>60163.017417527219</c:v>
                </c:pt>
                <c:pt idx="7">
                  <c:v>61121.741397424055</c:v>
                </c:pt>
                <c:pt idx="8">
                  <c:v>62075.548309842481</c:v>
                </c:pt>
                <c:pt idx="9">
                  <c:v>63080.661430340318</c:v>
                </c:pt>
                <c:pt idx="10">
                  <c:v>64170.029811769207</c:v>
                </c:pt>
                <c:pt idx="11">
                  <c:v>65710.025174085662</c:v>
                </c:pt>
                <c:pt idx="12">
                  <c:v>66781.11989231089</c:v>
                </c:pt>
                <c:pt idx="13">
                  <c:v>67617.37403585334</c:v>
                </c:pt>
                <c:pt idx="14">
                  <c:v>68620.858837397755</c:v>
                </c:pt>
                <c:pt idx="15">
                  <c:v>69643.314061128811</c:v>
                </c:pt>
                <c:pt idx="16">
                  <c:v>70515.585379208904</c:v>
                </c:pt>
                <c:pt idx="17">
                  <c:v>71333.765894101511</c:v>
                </c:pt>
                <c:pt idx="18">
                  <c:v>72102.5068408644</c:v>
                </c:pt>
                <c:pt idx="19">
                  <c:v>72878.710253149591</c:v>
                </c:pt>
                <c:pt idx="20">
                  <c:v>73729.591628369992</c:v>
                </c:pt>
                <c:pt idx="21">
                  <c:v>74641.105835298571</c:v>
                </c:pt>
                <c:pt idx="22">
                  <c:v>75342.684538554167</c:v>
                </c:pt>
                <c:pt idx="23">
                  <c:v>75711.107586765007</c:v>
                </c:pt>
                <c:pt idx="24">
                  <c:v>76357.153152220737</c:v>
                </c:pt>
                <c:pt idx="25">
                  <c:v>76840.485753008368</c:v>
                </c:pt>
                <c:pt idx="26">
                  <c:v>77538.845454171693</c:v>
                </c:pt>
                <c:pt idx="27">
                  <c:v>77886.613282902457</c:v>
                </c:pt>
                <c:pt idx="28">
                  <c:v>78091.180679534868</c:v>
                </c:pt>
                <c:pt idx="29">
                  <c:v>78305.082261398857</c:v>
                </c:pt>
                <c:pt idx="30">
                  <c:v>78971.092497962178</c:v>
                </c:pt>
              </c:numCache>
            </c:numRef>
          </c:val>
          <c:smooth val="0"/>
        </c:ser>
        <c:dLbls>
          <c:showLegendKey val="0"/>
          <c:showVal val="0"/>
          <c:showCatName val="0"/>
          <c:showSerName val="0"/>
          <c:showPercent val="0"/>
          <c:showBubbleSize val="0"/>
        </c:dLbls>
        <c:smooth val="0"/>
        <c:axId val="188314232"/>
        <c:axId val="188314624"/>
      </c:lineChart>
      <c:catAx>
        <c:axId val="188314232"/>
        <c:scaling>
          <c:orientation val="minMax"/>
        </c:scaling>
        <c:delete val="0"/>
        <c:axPos val="b"/>
        <c:numFmt formatCode="General" sourceLinked="0"/>
        <c:majorTickMark val="out"/>
        <c:minorTickMark val="none"/>
        <c:tickLblPos val="nextTo"/>
        <c:spPr>
          <a:ln>
            <a:solidFill>
              <a:schemeClr val="bg1">
                <a:lumMod val="75000"/>
              </a:schemeClr>
            </a:solidFill>
          </a:ln>
        </c:spPr>
        <c:crossAx val="188314624"/>
        <c:crosses val="autoZero"/>
        <c:auto val="1"/>
        <c:lblAlgn val="ctr"/>
        <c:lblOffset val="100"/>
        <c:tickLblSkip val="1"/>
        <c:noMultiLvlLbl val="0"/>
      </c:catAx>
      <c:valAx>
        <c:axId val="188314624"/>
        <c:scaling>
          <c:orientation val="minMax"/>
        </c:scaling>
        <c:delete val="0"/>
        <c:axPos val="l"/>
        <c:majorGridlines>
          <c:spPr>
            <a:ln>
              <a:solidFill>
                <a:schemeClr val="bg1">
                  <a:lumMod val="85000"/>
                </a:schemeClr>
              </a:solidFill>
              <a:prstDash val="sysDash"/>
            </a:ln>
          </c:spPr>
        </c:majorGridlines>
        <c:title>
          <c:tx>
            <c:rich>
              <a:bodyPr rot="-5400000" vert="horz"/>
              <a:lstStyle/>
              <a:p>
                <a:pPr>
                  <a:defRPr/>
                </a:pPr>
                <a:r>
                  <a:rPr lang="cs-CZ"/>
                  <a:t>GWh</a:t>
                </a:r>
              </a:p>
            </c:rich>
          </c:tx>
          <c:layout/>
          <c:overlay val="0"/>
        </c:title>
        <c:numFmt formatCode="#,##0" sourceLinked="0"/>
        <c:majorTickMark val="out"/>
        <c:minorTickMark val="none"/>
        <c:tickLblPos val="nextTo"/>
        <c:spPr>
          <a:ln>
            <a:solidFill>
              <a:schemeClr val="bg1">
                <a:lumMod val="75000"/>
              </a:schemeClr>
            </a:solidFill>
          </a:ln>
        </c:spPr>
        <c:crossAx val="188314232"/>
        <c:crosses val="autoZero"/>
        <c:crossBetween val="midCat"/>
      </c:valAx>
    </c:plotArea>
    <c:legend>
      <c:legendPos val="b"/>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0.05914</cdr:x>
      <cdr:y>0</cdr:y>
    </cdr:from>
    <cdr:to>
      <cdr:x>0.07632</cdr:x>
      <cdr:y>0.09292</cdr:y>
    </cdr:to>
    <cdr:sp macro="" textlink="">
      <cdr:nvSpPr>
        <cdr:cNvPr id="146433" name="text 1"/>
        <cdr:cNvSpPr txBox="1">
          <a:spLocks xmlns:a="http://schemas.openxmlformats.org/drawingml/2006/main" noChangeArrowheads="1"/>
        </cdr:cNvSpPr>
      </cdr:nvSpPr>
      <cdr:spPr bwMode="auto">
        <a:xfrm xmlns:a="http://schemas.openxmlformats.org/drawingml/2006/main">
          <a:off x="519339" y="-1234"/>
          <a:ext cx="150939" cy="2026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cs-CZ" sz="1000" b="0" i="0" u="none" strike="noStrike" baseline="0">
              <a:solidFill>
                <a:srgbClr val="000000"/>
              </a:solidFill>
              <a:latin typeface="Arial CE"/>
              <a:cs typeface="Arial CE"/>
            </a:rPr>
            <a:t>%</a:t>
          </a:r>
          <a:endParaRPr lang="cs-CZ"/>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929A2-3759-4D99-B2B1-299BC880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BA5459FE.dotm</Template>
  <TotalTime>0</TotalTime>
  <Pages>116</Pages>
  <Words>42815</Words>
  <Characters>252612</Characters>
  <Application>Microsoft Office Word</Application>
  <DocSecurity>0</DocSecurity>
  <Lines>2105</Lines>
  <Paragraphs>589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294838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2015-05-18T09:35:00Z</dcterms:created>
  <dcterms:modified xsi:type="dcterms:W3CDTF">2015-05-27T06:33:00Z</dcterms:modified>
</cp:coreProperties>
</file>